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2B71" w14:textId="77777777" w:rsidR="00D84308" w:rsidRPr="00D46B16" w:rsidRDefault="00D84308" w:rsidP="00D46B16">
      <w:pPr>
        <w:jc w:val="center"/>
        <w:rPr>
          <w:b/>
          <w:bCs/>
        </w:rPr>
      </w:pPr>
      <w:r w:rsidRPr="00D46B16">
        <w:rPr>
          <w:b/>
          <w:bCs/>
        </w:rPr>
        <w:t>Критерії прийнятності Клієнта для отримання Державної підтримки в рамках Програми «Доступні кредити 5-7-9» в АТ «ПІРЕУС БАНК МКБ»:</w:t>
      </w:r>
    </w:p>
    <w:p w14:paraId="4A1BB0BE" w14:textId="77777777" w:rsidR="00115E04" w:rsidRDefault="00115E04" w:rsidP="00115E04">
      <w:pPr>
        <w:pStyle w:val="a9"/>
        <w:numPr>
          <w:ilvl w:val="0"/>
          <w:numId w:val="2"/>
        </w:numPr>
        <w:tabs>
          <w:tab w:val="left" w:pos="245"/>
        </w:tabs>
        <w:ind w:hanging="720"/>
        <w:contextualSpacing w:val="0"/>
        <w:jc w:val="both"/>
      </w:pPr>
      <w:r>
        <w:t>Клієнт є:</w:t>
      </w:r>
    </w:p>
    <w:p w14:paraId="7401C48B" w14:textId="77777777" w:rsidR="00115E04" w:rsidRDefault="00115E04" w:rsidP="00115E04">
      <w:pPr>
        <w:pStyle w:val="a9"/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</w:pPr>
      <w:r>
        <w:t>ю</w:t>
      </w:r>
      <w:r w:rsidR="00D154CA" w:rsidRPr="002772F4">
        <w:t>ридичн</w:t>
      </w:r>
      <w:r>
        <w:t>ою</w:t>
      </w:r>
      <w:r w:rsidR="00D154CA" w:rsidRPr="002772F4">
        <w:t xml:space="preserve"> особ</w:t>
      </w:r>
      <w:r>
        <w:t>ою</w:t>
      </w:r>
      <w:r w:rsidR="00D154CA">
        <w:t xml:space="preserve"> - резидент</w:t>
      </w:r>
      <w:r>
        <w:t>ом</w:t>
      </w:r>
      <w:r w:rsidR="00D154CA">
        <w:t xml:space="preserve"> України</w:t>
      </w:r>
      <w:r w:rsidR="00D154CA" w:rsidRPr="002772F4">
        <w:t xml:space="preserve">, кінцеві </w:t>
      </w:r>
      <w:proofErr w:type="spellStart"/>
      <w:r w:rsidR="00D154CA" w:rsidRPr="002772F4">
        <w:t>бенефіціарні</w:t>
      </w:r>
      <w:proofErr w:type="spellEnd"/>
      <w:r w:rsidR="00D154CA" w:rsidRPr="002772F4">
        <w:t xml:space="preserve"> власники (</w:t>
      </w:r>
      <w:r>
        <w:t>контролери</w:t>
      </w:r>
      <w:r w:rsidR="00D154CA" w:rsidRPr="002772F4">
        <w:t>) якого є фізичними особами – резидентами України</w:t>
      </w:r>
      <w:r w:rsidR="00D154CA">
        <w:t>;</w:t>
      </w:r>
    </w:p>
    <w:p w14:paraId="488FA0FC" w14:textId="67384758" w:rsidR="00D154CA" w:rsidRDefault="00115E04" w:rsidP="00115E04">
      <w:pPr>
        <w:pStyle w:val="a9"/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</w:pPr>
      <w:r>
        <w:t>в</w:t>
      </w:r>
      <w:r w:rsidR="00D154CA">
        <w:t>иробник</w:t>
      </w:r>
      <w:r>
        <w:t xml:space="preserve">ом </w:t>
      </w:r>
      <w:r w:rsidRPr="00115E04">
        <w:t>сільськогосподарської продукції</w:t>
      </w:r>
      <w:r w:rsidR="00D154CA">
        <w:t>,</w:t>
      </w:r>
      <w:r w:rsidR="009137A9">
        <w:t xml:space="preserve"> </w:t>
      </w:r>
      <w:r w:rsidR="00D154CA" w:rsidRPr="00D62006">
        <w:t>який зареєстрований в Державному аграрному реєстрі.</w:t>
      </w:r>
      <w:r w:rsidR="00D154CA">
        <w:t xml:space="preserve"> </w:t>
      </w:r>
    </w:p>
    <w:p w14:paraId="039E3FFD" w14:textId="77777777" w:rsidR="001428E5" w:rsidRDefault="00D84308" w:rsidP="001428E5">
      <w:pPr>
        <w:pStyle w:val="a9"/>
        <w:numPr>
          <w:ilvl w:val="0"/>
          <w:numId w:val="2"/>
        </w:numPr>
        <w:ind w:left="284" w:hanging="284"/>
        <w:jc w:val="both"/>
      </w:pPr>
      <w:r w:rsidRPr="00D84308">
        <w:t xml:space="preserve">Строк реєстрації Клієнта не менше </w:t>
      </w:r>
      <w:r w:rsidR="0062483E">
        <w:t>12</w:t>
      </w:r>
      <w:r w:rsidRPr="00D84308">
        <w:t xml:space="preserve"> повних календарних місяці.</w:t>
      </w:r>
    </w:p>
    <w:p w14:paraId="2B4A5641" w14:textId="77777777" w:rsidR="001428E5" w:rsidRDefault="001428E5" w:rsidP="001428E5">
      <w:pPr>
        <w:pStyle w:val="a9"/>
        <w:ind w:left="284"/>
        <w:jc w:val="both"/>
      </w:pPr>
    </w:p>
    <w:p w14:paraId="3420F77D" w14:textId="59465A2A" w:rsidR="001428E5" w:rsidRPr="001428E5" w:rsidRDefault="001428E5" w:rsidP="001428E5">
      <w:pPr>
        <w:pStyle w:val="a9"/>
        <w:numPr>
          <w:ilvl w:val="0"/>
          <w:numId w:val="2"/>
        </w:numPr>
        <w:tabs>
          <w:tab w:val="left" w:pos="142"/>
        </w:tabs>
        <w:ind w:left="284" w:hanging="284"/>
        <w:jc w:val="both"/>
      </w:pPr>
      <w:r>
        <w:t xml:space="preserve">Клієнт належить до </w:t>
      </w:r>
      <w:r w:rsidRPr="008D1715">
        <w:t>сегменту мікро, малого</w:t>
      </w:r>
      <w:r>
        <w:t xml:space="preserve"> та</w:t>
      </w:r>
      <w:r w:rsidRPr="008D1715">
        <w:t xml:space="preserve"> середнього підприємництва. </w:t>
      </w:r>
      <w:r w:rsidRPr="001428E5">
        <w:t>З метою визначення сегмент</w:t>
      </w:r>
      <w:r>
        <w:t>у Клієнта</w:t>
      </w:r>
      <w:r w:rsidRPr="001428E5">
        <w:t xml:space="preserve"> розмір річного доходу від провадження ним господарської діяльності визначається з урахуванням групи пов’язаних з </w:t>
      </w:r>
      <w:r>
        <w:t>ним</w:t>
      </w:r>
      <w:r w:rsidRPr="001428E5">
        <w:t xml:space="preserve"> контрагентів в межах граничних розмірів, установлених законодавством України</w:t>
      </w:r>
      <w:r>
        <w:t xml:space="preserve"> (</w:t>
      </w:r>
      <w:r w:rsidRPr="001428E5">
        <w:rPr>
          <w:i/>
          <w:iCs/>
        </w:rPr>
        <w:t xml:space="preserve">станом на 02.06.2026 року це </w:t>
      </w:r>
      <w:r w:rsidRPr="001428E5">
        <w:rPr>
          <w:i/>
          <w:iCs/>
        </w:rPr>
        <w:t xml:space="preserve">п.п.4 ст.2 </w:t>
      </w:r>
      <w:hyperlink r:id="rId7" w:tgtFrame="_blank" w:history="1">
        <w:r w:rsidRPr="001428E5">
          <w:rPr>
            <w:rStyle w:val="af1"/>
            <w:i/>
            <w:iCs/>
          </w:rPr>
          <w:t>Закону України</w:t>
        </w:r>
      </w:hyperlink>
      <w:r w:rsidRPr="001428E5">
        <w:rPr>
          <w:i/>
          <w:iCs/>
        </w:rPr>
        <w:t> “Про особливості регулювання діяльності юридичних  осіб окремих організаційно-правових форм у перехідний період та об’єднань юридичних осіб”</w:t>
      </w:r>
      <w:r>
        <w:t xml:space="preserve">),  </w:t>
      </w:r>
      <w:r w:rsidRPr="001428E5">
        <w:t xml:space="preserve">за останні 4 (чотири) звітні календарні квартали -для </w:t>
      </w:r>
      <w:r>
        <w:t>Клієнтів</w:t>
      </w:r>
      <w:r w:rsidRPr="001428E5">
        <w:t xml:space="preserve">, що подають квартальну звітність, або за останній звітний рік - для </w:t>
      </w:r>
      <w:r>
        <w:t>Клієнтів</w:t>
      </w:r>
      <w:r w:rsidRPr="001428E5">
        <w:t xml:space="preserve">, що подають річну звітність. Розрахунок зазначеного показника здійснюється на підставі даних офіційної фінансової звітності за звітний період, що передує даті отримання кредиту. </w:t>
      </w:r>
    </w:p>
    <w:p w14:paraId="0ACF4EE9" w14:textId="77777777" w:rsidR="0062483E" w:rsidRDefault="00D84308" w:rsidP="00E0501C">
      <w:pPr>
        <w:ind w:left="284" w:hanging="284"/>
        <w:jc w:val="both"/>
      </w:pPr>
      <w:r w:rsidRPr="00D84308">
        <w:t xml:space="preserve">4. Клієнт зареєстрований на території України (крім тимчасово окупованих </w:t>
      </w:r>
      <w:r w:rsidR="0062483E" w:rsidRPr="0062483E">
        <w:t xml:space="preserve">російською федерацією територій, включених до переліку територій, на яких ведуться (велися) бойові дії або тимчасово окупованих російською федерацією, затвердженого </w:t>
      </w:r>
      <w:proofErr w:type="spellStart"/>
      <w:r w:rsidR="0062483E" w:rsidRPr="0062483E">
        <w:t>Мінрозвитку</w:t>
      </w:r>
      <w:proofErr w:type="spellEnd"/>
      <w:r w:rsidR="0062483E" w:rsidRPr="0062483E">
        <w:t>, для яких не визначена дата завершення тимчасової окупації).</w:t>
      </w:r>
    </w:p>
    <w:p w14:paraId="40277B46" w14:textId="77777777" w:rsidR="00564B43" w:rsidRDefault="00D84308" w:rsidP="00E0501C">
      <w:pPr>
        <w:ind w:left="284" w:hanging="284"/>
        <w:jc w:val="both"/>
      </w:pPr>
      <w:r w:rsidRPr="00D84308">
        <w:t xml:space="preserve">5. </w:t>
      </w:r>
      <w:r w:rsidR="001428E5">
        <w:t>Клієнт</w:t>
      </w:r>
      <w:r w:rsidR="0062483E" w:rsidRPr="001428E5">
        <w:t xml:space="preserve"> не є особою, учасником (акціонером, членом) або кінцевим </w:t>
      </w:r>
      <w:proofErr w:type="spellStart"/>
      <w:r w:rsidR="0062483E" w:rsidRPr="001428E5">
        <w:t>бенефіціарним</w:t>
      </w:r>
      <w:proofErr w:type="spellEnd"/>
      <w:r w:rsidR="0062483E" w:rsidRPr="001428E5">
        <w:t xml:space="preserve"> власником якої є громадяни держави, визнаної Україною державою-агресором або державою-окупантом, крім тих, які проживають на території України на законних підставах, та/або особою, яка належить або належала до терористичних організацій, юридичною особою, в якій особа, яка належить або належала до терористичної організації, виступає учасником (акціонером, членом) або кінцевим </w:t>
      </w:r>
      <w:proofErr w:type="spellStart"/>
      <w:r w:rsidR="0062483E" w:rsidRPr="001428E5">
        <w:t>бенефіціарним</w:t>
      </w:r>
      <w:proofErr w:type="spellEnd"/>
      <w:r w:rsidR="0062483E" w:rsidRPr="001428E5">
        <w:t xml:space="preserve"> власником, до </w:t>
      </w:r>
      <w:r w:rsidR="001428E5">
        <w:t>Клієнта</w:t>
      </w:r>
      <w:r w:rsidR="0062483E" w:rsidRPr="001428E5">
        <w:t xml:space="preserve"> або до пов’язаних осіб </w:t>
      </w:r>
      <w:r w:rsidR="001428E5">
        <w:t>Клієнта</w:t>
      </w:r>
      <w:r w:rsidR="0062483E" w:rsidRPr="001428E5">
        <w:t xml:space="preserve"> Україною, іноземними державами — членами Організації економічного співробітництва та розвитку чи ЄС не застосовано персональних санкцій. </w:t>
      </w:r>
    </w:p>
    <w:p w14:paraId="05873490" w14:textId="35C90902" w:rsidR="00564B43" w:rsidRPr="00564B43" w:rsidRDefault="000F62E7" w:rsidP="00E0501C">
      <w:pPr>
        <w:ind w:left="284" w:hanging="284"/>
        <w:jc w:val="both"/>
      </w:pPr>
      <w:r>
        <w:t xml:space="preserve">6. </w:t>
      </w:r>
      <w:r w:rsidR="00D84308" w:rsidRPr="00D84308">
        <w:t xml:space="preserve">Клієнт разом з учасниками групи пов’язаних з ним контрагентів за останні три календарних роки не отримував державної </w:t>
      </w:r>
      <w:r>
        <w:t>підтримки</w:t>
      </w:r>
      <w:r w:rsidR="00D84308" w:rsidRPr="00D84308">
        <w:t>, що перевищує суму, еквівалентну 200 тис. євро, визначену за офіційним валютним курсом, установленим Національним банком</w:t>
      </w:r>
      <w:r w:rsidR="00564B43">
        <w:t xml:space="preserve"> України</w:t>
      </w:r>
      <w:r w:rsidR="00D84308" w:rsidRPr="00D84308">
        <w:t xml:space="preserve">, що діяв на останній день фінансового року. </w:t>
      </w:r>
      <w:r w:rsidR="00564B43" w:rsidRPr="00564B43">
        <w:t xml:space="preserve">Обмеження суми державної підтримки, визначені цим пунктом, не застосовуються до </w:t>
      </w:r>
      <w:r w:rsidR="00564B43">
        <w:t>Клієнтів</w:t>
      </w:r>
      <w:r w:rsidR="00564B43" w:rsidRPr="00564B43">
        <w:t xml:space="preserve">, що провадять діяльність у сфері сільськогосподарського виробництва та рибальства, а також для всіх </w:t>
      </w:r>
      <w:r w:rsidR="00564B43">
        <w:t>Клієнтів</w:t>
      </w:r>
      <w:r w:rsidR="00564B43" w:rsidRPr="00564B43">
        <w:t xml:space="preserve"> у період дії воєнного стану.</w:t>
      </w:r>
    </w:p>
    <w:p w14:paraId="7DF1BB26" w14:textId="05696BCE" w:rsidR="00D84308" w:rsidRPr="00D84308" w:rsidRDefault="008157D4" w:rsidP="00E0501C">
      <w:pPr>
        <w:ind w:left="284" w:hanging="284"/>
        <w:jc w:val="both"/>
      </w:pPr>
      <w:r>
        <w:t>7</w:t>
      </w:r>
      <w:r w:rsidR="00D84308" w:rsidRPr="00D84308">
        <w:t>. Клієнт не підпадає під обмеження щодо надання державної підтримки, визначені статтею 13 Закону України “Про розвиток та державну підтримку малого і середнього підприємництва в Україні”, а саме:</w:t>
      </w:r>
    </w:p>
    <w:p w14:paraId="3DA59E89" w14:textId="587B7F51" w:rsidR="00D84308" w:rsidRPr="00D84308" w:rsidRDefault="00D84308" w:rsidP="00346671">
      <w:pPr>
        <w:pStyle w:val="a9"/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</w:pPr>
      <w:r w:rsidRPr="00D84308">
        <w:t>є кредитною організацією, страховою організацією, інвестиційним фондом, недержавним пенсійним фондом, професійним учасником ринку цінних паперів, ломбардом;</w:t>
      </w:r>
    </w:p>
    <w:p w14:paraId="15BFBFD2" w14:textId="37B35F68" w:rsidR="00D84308" w:rsidRPr="00D84308" w:rsidRDefault="00D84308" w:rsidP="00346671">
      <w:pPr>
        <w:pStyle w:val="a9"/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</w:pPr>
      <w:r w:rsidRPr="00D84308">
        <w:lastRenderedPageBreak/>
        <w:t>здійснює виробництво та/або реалізацію зброї, алкогольних напоїв</w:t>
      </w:r>
      <w:r w:rsidR="00145DEB">
        <w:t xml:space="preserve"> </w:t>
      </w:r>
      <w:r w:rsidR="00145DEB" w:rsidRPr="00145DEB">
        <w:t>(крім виробництва (без додавання спирту) та/або реалізації вин виноградних, у тому числі ігристих, газованих, вин плодово-ягідних, напоїв медових)</w:t>
      </w:r>
      <w:r w:rsidRPr="00D84308">
        <w:t>, тютюнових виробів, обмін валют;</w:t>
      </w:r>
    </w:p>
    <w:p w14:paraId="782E8ACA" w14:textId="4CFFA5D4" w:rsidR="00D84308" w:rsidRPr="00D84308" w:rsidRDefault="00D84308" w:rsidP="00346671">
      <w:pPr>
        <w:pStyle w:val="a9"/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</w:pPr>
      <w:r w:rsidRPr="00D84308">
        <w:t>здійснює надання в оренду нерухомого майна, що є одним з основних видів діяльності</w:t>
      </w:r>
      <w:r w:rsidR="008C01E0">
        <w:t xml:space="preserve"> (</w:t>
      </w:r>
      <w:r w:rsidR="008C01E0" w:rsidRPr="008C01E0">
        <w:rPr>
          <w:i/>
          <w:iCs/>
        </w:rPr>
        <w:t>дохід від даного виду діяльності не може перевищувати 25% від загального доходу за звітний календарний рік</w:t>
      </w:r>
      <w:r w:rsidR="008C01E0">
        <w:rPr>
          <w:i/>
          <w:iCs/>
        </w:rPr>
        <w:t>)</w:t>
      </w:r>
      <w:r w:rsidRPr="00D84308">
        <w:t>;</w:t>
      </w:r>
    </w:p>
    <w:p w14:paraId="2C8F6DBB" w14:textId="49148684" w:rsidR="00D84308" w:rsidRPr="00D84308" w:rsidRDefault="00D84308" w:rsidP="00346671">
      <w:pPr>
        <w:pStyle w:val="a9"/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</w:pPr>
      <w:r w:rsidRPr="00D84308">
        <w:t>визнаний банкрутом або стосовно якого порушено справу про банкрутство;</w:t>
      </w:r>
    </w:p>
    <w:p w14:paraId="15716CA3" w14:textId="4E1CA5C2" w:rsidR="00D84308" w:rsidRPr="00D84308" w:rsidRDefault="00D84308" w:rsidP="00346671">
      <w:pPr>
        <w:pStyle w:val="a9"/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</w:pPr>
      <w:r w:rsidRPr="00D84308">
        <w:t>перебувають у стадії припинення юридичної особи або припинення підприємницької діяльності фізичної особи - підприємця;</w:t>
      </w:r>
    </w:p>
    <w:p w14:paraId="3B616A8E" w14:textId="4603B11C" w:rsidR="00D84308" w:rsidRPr="00D84308" w:rsidRDefault="00D84308" w:rsidP="00346671">
      <w:pPr>
        <w:pStyle w:val="a9"/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</w:pPr>
      <w:r w:rsidRPr="00D84308">
        <w:t>подав завідомо недостовірні відомості та документи під час звернення за наданням державної підтримки;</w:t>
      </w:r>
    </w:p>
    <w:p w14:paraId="23418C0D" w14:textId="3854C860" w:rsidR="00D84308" w:rsidRPr="00D84308" w:rsidRDefault="00D84308" w:rsidP="00346671">
      <w:pPr>
        <w:pStyle w:val="a9"/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</w:pPr>
      <w:r w:rsidRPr="00D84308">
        <w:t>має заборгованість перед бюджетом, Пенсійним фондом України, фондами загальнообов’язкового державного соціального страхування;</w:t>
      </w:r>
    </w:p>
    <w:p w14:paraId="24A6869F" w14:textId="09E8E9C0" w:rsidR="00D84308" w:rsidRPr="00D84308" w:rsidRDefault="00D84308" w:rsidP="00346671">
      <w:pPr>
        <w:pStyle w:val="a9"/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</w:pPr>
      <w:r w:rsidRPr="00D84308">
        <w:t>отримав державну підтримку з порушенням умов її надання або умов щодо цільового використання бюджетних коштів, що доведено в установленому порядку;</w:t>
      </w:r>
    </w:p>
    <w:p w14:paraId="6B601B0A" w14:textId="23340604" w:rsidR="00096B11" w:rsidRPr="00096B11" w:rsidRDefault="00D84308" w:rsidP="006B0500">
      <w:pPr>
        <w:ind w:left="284" w:hanging="284"/>
        <w:jc w:val="both"/>
      </w:pPr>
      <w:r w:rsidRPr="00D84308">
        <w:t xml:space="preserve">7. </w:t>
      </w:r>
      <w:r w:rsidR="00096B11">
        <w:t>Клієнт</w:t>
      </w:r>
      <w:r w:rsidR="00096B11" w:rsidRPr="00096B11">
        <w:t>, що провадить діяльність у сільському господарстві (основний </w:t>
      </w:r>
      <w:hyperlink r:id="rId8" w:tgtFrame="_blank" w:history="1">
        <w:r w:rsidR="00096B11" w:rsidRPr="00096B11">
          <w:t>КВЕД</w:t>
        </w:r>
      </w:hyperlink>
      <w:r w:rsidR="00096B11" w:rsidRPr="00096B11">
        <w:t>) за всіма КВЕД Секції А та діяльність з переробки сільськогосподарської продукції (основний КВЕД) за всіма КВЕД </w:t>
      </w:r>
      <w:hyperlink r:id="rId9" w:tgtFrame="_blank" w:history="1">
        <w:r w:rsidR="00096B11" w:rsidRPr="00096B11">
          <w:t>групи 10.51</w:t>
        </w:r>
      </w:hyperlink>
      <w:hyperlink r:id="rId10" w:tgtFrame="_blank" w:history="1">
        <w:r w:rsidR="00096B11" w:rsidRPr="00096B11">
          <w:t>,</w:t>
        </w:r>
      </w:hyperlink>
      <w:r w:rsidR="00096B11" w:rsidRPr="00096B11">
        <w:t xml:space="preserve"> </w:t>
      </w:r>
      <w:hyperlink r:id="rId11" w:tgtFrame="_blank" w:history="1">
        <w:r w:rsidR="00096B11" w:rsidRPr="00096B11">
          <w:t>10.61</w:t>
        </w:r>
      </w:hyperlink>
      <w:r w:rsidR="00096B11" w:rsidRPr="00096B11">
        <w:t xml:space="preserve"> </w:t>
      </w:r>
      <w:hyperlink r:id="rId12" w:tgtFrame="_blank" w:history="1">
        <w:r w:rsidR="00096B11" w:rsidRPr="00096B11">
          <w:t>та</w:t>
        </w:r>
      </w:hyperlink>
      <w:r w:rsidR="00096B11" w:rsidRPr="00096B11">
        <w:t xml:space="preserve"> </w:t>
      </w:r>
      <w:hyperlink r:id="rId13" w:tgtFrame="_blank" w:history="1">
        <w:r w:rsidR="00096B11" w:rsidRPr="00096B11">
          <w:t>10.71 Національного класифікатора України</w:t>
        </w:r>
      </w:hyperlink>
      <w:r w:rsidR="00096B11" w:rsidRPr="00096B11">
        <w:t>, повинен запровадити та дотримуватися Екологічних та соціальних стандартів Світового банку.</w:t>
      </w:r>
    </w:p>
    <w:p w14:paraId="17F7D578" w14:textId="4714E7D0" w:rsidR="00D84308" w:rsidRPr="00D84308" w:rsidRDefault="00D84308" w:rsidP="006B0500">
      <w:pPr>
        <w:ind w:left="284" w:hanging="284"/>
        <w:jc w:val="both"/>
      </w:pPr>
      <w:r w:rsidRPr="00D84308">
        <w:t>8.</w:t>
      </w:r>
      <w:r w:rsidR="009137A9">
        <w:t xml:space="preserve">  </w:t>
      </w:r>
      <w:r w:rsidRPr="00D84308">
        <w:t>Інші вимоги до Клієнта, встановлені в АТ «ПІРЕУС БАНК МКБ», про які більш детально можна дізнатись у клієнтського менеджера.</w:t>
      </w:r>
    </w:p>
    <w:p w14:paraId="19C51A90" w14:textId="77777777" w:rsidR="00A4420E" w:rsidRDefault="00A4420E"/>
    <w:sectPr w:rsidR="00A4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6FDB" w14:textId="77777777" w:rsidR="002234B0" w:rsidRDefault="002234B0" w:rsidP="00D154CA">
      <w:pPr>
        <w:spacing w:after="0" w:line="240" w:lineRule="auto"/>
      </w:pPr>
      <w:r>
        <w:separator/>
      </w:r>
    </w:p>
  </w:endnote>
  <w:endnote w:type="continuationSeparator" w:id="0">
    <w:p w14:paraId="520EC63B" w14:textId="77777777" w:rsidR="002234B0" w:rsidRDefault="002234B0" w:rsidP="00D1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BD282" w14:textId="77777777" w:rsidR="002234B0" w:rsidRDefault="002234B0" w:rsidP="00D154CA">
      <w:pPr>
        <w:spacing w:after="0" w:line="240" w:lineRule="auto"/>
      </w:pPr>
      <w:r>
        <w:separator/>
      </w:r>
    </w:p>
  </w:footnote>
  <w:footnote w:type="continuationSeparator" w:id="0">
    <w:p w14:paraId="601D1348" w14:textId="77777777" w:rsidR="002234B0" w:rsidRDefault="002234B0" w:rsidP="00D15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4654"/>
    <w:multiLevelType w:val="hybridMultilevel"/>
    <w:tmpl w:val="B336CF0C"/>
    <w:lvl w:ilvl="0" w:tplc="0422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3896069A"/>
    <w:multiLevelType w:val="hybridMultilevel"/>
    <w:tmpl w:val="C4A236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61C78"/>
    <w:multiLevelType w:val="hybridMultilevel"/>
    <w:tmpl w:val="670C98FC"/>
    <w:lvl w:ilvl="0" w:tplc="85A21B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2397D"/>
    <w:multiLevelType w:val="hybridMultilevel"/>
    <w:tmpl w:val="245E9CD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2256690">
    <w:abstractNumId w:val="3"/>
  </w:num>
  <w:num w:numId="2" w16cid:durableId="33502450">
    <w:abstractNumId w:val="2"/>
  </w:num>
  <w:num w:numId="3" w16cid:durableId="257175528">
    <w:abstractNumId w:val="0"/>
  </w:num>
  <w:num w:numId="4" w16cid:durableId="28889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08"/>
    <w:rsid w:val="00096B11"/>
    <w:rsid w:val="000F62E7"/>
    <w:rsid w:val="00102702"/>
    <w:rsid w:val="00115E04"/>
    <w:rsid w:val="001428E5"/>
    <w:rsid w:val="00145DEB"/>
    <w:rsid w:val="001F148F"/>
    <w:rsid w:val="002234B0"/>
    <w:rsid w:val="002C08EF"/>
    <w:rsid w:val="00346671"/>
    <w:rsid w:val="004F7293"/>
    <w:rsid w:val="005323FF"/>
    <w:rsid w:val="00564B43"/>
    <w:rsid w:val="0062483E"/>
    <w:rsid w:val="006B0500"/>
    <w:rsid w:val="008157D4"/>
    <w:rsid w:val="008C01E0"/>
    <w:rsid w:val="008D1715"/>
    <w:rsid w:val="009137A9"/>
    <w:rsid w:val="00A4420E"/>
    <w:rsid w:val="00D154CA"/>
    <w:rsid w:val="00D46B16"/>
    <w:rsid w:val="00D84308"/>
    <w:rsid w:val="00E0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527E"/>
  <w15:chartTrackingRefBased/>
  <w15:docId w15:val="{08B3500F-2534-4945-99F1-4ED9C73E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4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3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3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3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4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43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430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430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43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43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43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43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4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84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84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84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30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3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8430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84308"/>
    <w:rPr>
      <w:b/>
      <w:bCs/>
      <w:smallCaps/>
      <w:color w:val="2E74B5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D154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en-US" w:eastAsia="el-GR"/>
      <w14:ligatures w14:val="none"/>
    </w:rPr>
  </w:style>
  <w:style w:type="character" w:customStyle="1" w:styleId="af">
    <w:name w:val="Текст виноски Знак"/>
    <w:basedOn w:val="a0"/>
    <w:link w:val="ae"/>
    <w:uiPriority w:val="99"/>
    <w:semiHidden/>
    <w:rsid w:val="00D154CA"/>
    <w:rPr>
      <w:rFonts w:ascii="Arial" w:eastAsia="Times New Roman" w:hAnsi="Arial" w:cs="Arial"/>
      <w:kern w:val="0"/>
      <w:sz w:val="20"/>
      <w:szCs w:val="20"/>
      <w:lang w:val="en-US" w:eastAsia="el-GR"/>
      <w14:ligatures w14:val="none"/>
    </w:rPr>
  </w:style>
  <w:style w:type="character" w:styleId="af0">
    <w:name w:val="footnote reference"/>
    <w:basedOn w:val="a0"/>
    <w:uiPriority w:val="99"/>
    <w:semiHidden/>
    <w:unhideWhenUsed/>
    <w:rsid w:val="00D154CA"/>
    <w:rPr>
      <w:vertAlign w:val="superscript"/>
    </w:rPr>
  </w:style>
  <w:style w:type="character" w:styleId="af1">
    <w:name w:val="Hyperlink"/>
    <w:basedOn w:val="a0"/>
    <w:uiPriority w:val="99"/>
    <w:unhideWhenUsed/>
    <w:rsid w:val="00D154C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15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FIN61334?ed=2023_01_04" TargetMode="External"/><Relationship Id="rId13" Type="http://schemas.openxmlformats.org/officeDocument/2006/relationships/hyperlink" Target="https://zakon-pro.ligazakon.net/document/FIN61334?ed=2023_01_04&amp;an=6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4196-20" TargetMode="External"/><Relationship Id="rId12" Type="http://schemas.openxmlformats.org/officeDocument/2006/relationships/hyperlink" Target="https://zakon-pro.ligazakon.net/document/KP241054?ed=2024_09_13&amp;an=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-pro.ligazakon.net/document/FIN61334?ed=2023_01_04&amp;an=65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akon-pro.ligazakon.net/document/KP241054?ed=2024_09_13&amp;an=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-pro.ligazakon.net/document/FIN61334?ed=2023_01_04&amp;an=64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3343</Words>
  <Characters>1906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 Alina</dc:creator>
  <cp:keywords/>
  <dc:description/>
  <cp:lastModifiedBy>Sarandi Alina</cp:lastModifiedBy>
  <cp:revision>2</cp:revision>
  <dcterms:created xsi:type="dcterms:W3CDTF">2026-06-02T13:38:00Z</dcterms:created>
  <dcterms:modified xsi:type="dcterms:W3CDTF">2026-06-02T13:38:00Z</dcterms:modified>
</cp:coreProperties>
</file>