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B88" w:rsidRDefault="008F66B5">
      <w:pPr>
        <w:spacing w:after="0" w:line="240" w:lineRule="auto"/>
        <w:ind w:left="4962"/>
        <w:jc w:val="both"/>
        <w:rPr>
          <w:rFonts w:ascii="Arial" w:eastAsia="Times New Roman" w:hAnsi="Arial" w:cs="Arial"/>
          <w:b/>
          <w:bCs/>
          <w:color w:val="002060"/>
          <w:sz w:val="20"/>
          <w:lang w:eastAsia="el-GR"/>
        </w:rPr>
      </w:pPr>
      <w:r>
        <w:rPr>
          <w:rFonts w:ascii="Arial" w:eastAsia="Times New Roman" w:hAnsi="Arial" w:cs="Arial"/>
          <w:b/>
          <w:bCs/>
          <w:noProof/>
          <w:color w:val="002060"/>
          <w:sz w:val="20"/>
          <w:lang w:eastAsia="uk-UA"/>
        </w:rPr>
        <mc:AlternateContent>
          <mc:Choice Requires="wps">
            <w:drawing>
              <wp:anchor distT="0" distB="0" distL="114300" distR="114300" simplePos="0" relativeHeight="251655168" behindDoc="1" locked="0" layoutInCell="1" allowOverlap="1">
                <wp:simplePos x="0" y="0"/>
                <wp:positionH relativeFrom="margin">
                  <wp:align>right</wp:align>
                </wp:positionH>
                <wp:positionV relativeFrom="paragraph">
                  <wp:posOffset>28575</wp:posOffset>
                </wp:positionV>
                <wp:extent cx="6070821" cy="9419065"/>
                <wp:effectExtent l="28575" t="28575"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820" cy="9419064"/>
                        </a:xfrm>
                        <a:prstGeom prst="rect">
                          <a:avLst/>
                        </a:prstGeom>
                        <a:solidFill>
                          <a:srgbClr val="FFFFFF"/>
                        </a:solidFill>
                        <a:ln w="57150" cmpd="thickThin">
                          <a:solidFill>
                            <a:srgbClr val="1F497D"/>
                          </a:solidFill>
                          <a:miter lim="800000"/>
                          <a:headEnd/>
                          <a:tailEnd/>
                        </a:ln>
                      </wps:spPr>
                      <wps:txbx>
                        <w:txbxContent>
                          <w:p w:rsidR="00E734E3" w:rsidRDefault="00E734E3">
                            <w:pPr>
                              <w:jc w:val="center"/>
                            </w:pPr>
                          </w:p>
                        </w:txbxContent>
                      </wps:txbx>
                      <wps:bodyPr anchor="ctr"/>
                    </wps:wsp>
                  </a:graphicData>
                </a:graphic>
              </wp:anchor>
            </w:drawing>
          </mc:Choice>
          <mc:Fallback>
            <w:pict>
              <v:rect id="Rectangle 3" o:spid="_x0000_s1026" style="position:absolute;left:0;text-align:left;margin-left:426.8pt;margin-top:2.25pt;width:478pt;height:741.6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" strokecolor="#1f497d" strokeweight="4.5pt">
                <v:stroke linestyle="thickThin"/>
                <v:textbox>
                  <w:txbxContent>
                    <w:p w14:paraId="7799516E" w14:textId="77777777" w:rsidR="00E734E3" w:rsidRDefault="00E734E3">
                      <w:pPr>
                        <w:jc w:val="center"/>
                      </w:pPr>
                    </w:p>
                  </w:txbxContent>
                </v:textbox>
                <w10:wrap anchorx="margin"/>
              </v:rect>
            </w:pict>
          </mc:Fallback>
        </mc:AlternateContent>
      </w:r>
    </w:p>
    <w:p w:rsidR="00506B88" w:rsidRDefault="008F66B5">
      <w:pPr>
        <w:spacing w:after="0" w:line="240" w:lineRule="auto"/>
        <w:jc w:val="both"/>
        <w:rPr>
          <w:rFonts w:ascii="Arial" w:eastAsia="Times New Roman" w:hAnsi="Arial" w:cs="Arial"/>
          <w:bCs/>
          <w:color w:val="002060"/>
          <w:sz w:val="20"/>
          <w:lang w:eastAsia="el-GR"/>
        </w:rPr>
      </w:pPr>
      <w:r>
        <w:rPr>
          <w:rFonts w:ascii="Arial" w:eastAsia="Times New Roman" w:hAnsi="Arial" w:cs="Arial"/>
          <w:b/>
          <w:bCs/>
          <w:noProof/>
          <w:color w:val="002060"/>
          <w:sz w:val="20"/>
          <w:lang w:eastAsia="uk-UA"/>
        </w:rPr>
        <mc:AlternateContent>
          <mc:Choice Requires="wpg">
            <w:drawing>
              <wp:inline distT="0" distB="0" distL="0" distR="0">
                <wp:extent cx="1136650" cy="387350"/>
                <wp:effectExtent l="19050" t="0" r="6350" b="0"/>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8"/>
                        <pic:cNvPicPr>
                          <a:picLocks noChangeAspect="1"/>
                        </pic:cNvPicPr>
                      </pic:nvPicPr>
                      <pic:blipFill>
                        <a:blip r:embed="rId7"/>
                        <a:srcRect l="6847" t="12820" r="21317" b="17075"/>
                        <a:stretch/>
                      </pic:blipFill>
                      <pic:spPr bwMode="auto">
                        <a:xfrm>
                          <a:off x="0" y="0"/>
                          <a:ext cx="1136650" cy="387350"/>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89.5pt;height:30.5pt;" strokeweight="0.75pt">
                <v:path textboxrect="0,0,0,0"/>
                <v:imagedata r:id="rId12" o:title=""/>
              </v:shape>
            </w:pict>
          </mc:Fallback>
        </mc:AlternateContent>
      </w:r>
      <w:r>
        <w:rPr>
          <w:rFonts w:ascii="Arial" w:eastAsia="Times New Roman" w:hAnsi="Arial" w:cs="Arial"/>
          <w:bCs/>
          <w:color w:val="002060"/>
          <w:sz w:val="20"/>
          <w:lang w:eastAsia="el-GR"/>
        </w:rPr>
        <w:t xml:space="preserve">                                                                                                        </w:t>
      </w:r>
    </w:p>
    <w:p w:rsidR="00506B88" w:rsidRDefault="00506B88">
      <w:pPr>
        <w:spacing w:after="0" w:line="240" w:lineRule="auto"/>
        <w:jc w:val="both"/>
        <w:rPr>
          <w:rFonts w:ascii="Arial" w:eastAsia="Times New Roman" w:hAnsi="Arial" w:cs="Arial"/>
          <w:bCs/>
          <w:color w:val="002060"/>
          <w:sz w:val="20"/>
          <w:lang w:eastAsia="el-GR"/>
        </w:rPr>
      </w:pPr>
    </w:p>
    <w:p w:rsidR="00506B88" w:rsidRDefault="008F66B5">
      <w:pPr>
        <w:spacing w:after="0" w:line="240" w:lineRule="auto"/>
        <w:jc w:val="both"/>
        <w:rPr>
          <w:rFonts w:ascii="Times New Roman" w:eastAsia="Times New Roman" w:hAnsi="Times New Roman" w:cs="Times New Roman"/>
          <w:bCs/>
          <w:i/>
          <w:color w:val="002060"/>
          <w:sz w:val="24"/>
          <w:szCs w:val="24"/>
          <w:lang w:eastAsia="el-GR"/>
        </w:rPr>
      </w:pPr>
      <w:r>
        <w:rPr>
          <w:rFonts w:ascii="Arial" w:eastAsia="Times New Roman" w:hAnsi="Arial" w:cs="Arial"/>
          <w:bCs/>
          <w:color w:val="002060"/>
          <w:sz w:val="20"/>
          <w:lang w:eastAsia="el-GR"/>
        </w:rPr>
        <w:t xml:space="preserve">                                                                                      </w:t>
      </w:r>
      <w:r>
        <w:rPr>
          <w:rFonts w:ascii="Arial" w:eastAsia="Times New Roman" w:hAnsi="Arial" w:cs="Arial"/>
          <w:bCs/>
          <w:color w:val="002060"/>
          <w:sz w:val="20"/>
          <w:lang w:eastAsia="el-GR"/>
        </w:rPr>
        <w:tab/>
      </w:r>
      <w:r>
        <w:rPr>
          <w:rFonts w:ascii="Arial" w:eastAsia="Times New Roman" w:hAnsi="Arial" w:cs="Arial"/>
          <w:bCs/>
          <w:color w:val="002060"/>
          <w:sz w:val="20"/>
          <w:lang w:eastAsia="el-GR"/>
        </w:rPr>
        <w:tab/>
      </w:r>
      <w:r w:rsidR="005E4A71">
        <w:rPr>
          <w:rFonts w:ascii="Arial" w:eastAsia="Times New Roman" w:hAnsi="Arial" w:cs="Arial"/>
          <w:bCs/>
          <w:color w:val="002060"/>
          <w:sz w:val="20"/>
          <w:lang w:val="en-US" w:eastAsia="el-GR"/>
        </w:rPr>
        <w:t xml:space="preserve">        </w:t>
      </w:r>
      <w:r>
        <w:rPr>
          <w:rFonts w:ascii="Arial" w:eastAsia="Times New Roman" w:hAnsi="Arial" w:cs="Arial"/>
          <w:bCs/>
          <w:i/>
          <w:color w:val="002060"/>
          <w:sz w:val="20"/>
          <w:lang w:eastAsia="el-GR"/>
        </w:rPr>
        <w:t>Для службового користування</w:t>
      </w:r>
      <w:r>
        <w:rPr>
          <w:rFonts w:ascii="Times New Roman" w:eastAsia="Times New Roman" w:hAnsi="Times New Roman" w:cs="Times New Roman"/>
          <w:bCs/>
          <w:i/>
          <w:color w:val="002060"/>
          <w:sz w:val="24"/>
          <w:szCs w:val="24"/>
          <w:lang w:eastAsia="el-GR"/>
        </w:rPr>
        <w:t xml:space="preserve"> </w:t>
      </w:r>
    </w:p>
    <w:p w:rsidR="00506B88" w:rsidRDefault="00506B88">
      <w:pPr>
        <w:spacing w:after="0" w:line="240" w:lineRule="auto"/>
        <w:jc w:val="both"/>
        <w:rPr>
          <w:rFonts w:ascii="Times New Roman" w:eastAsia="Times New Roman" w:hAnsi="Times New Roman" w:cs="Times New Roman"/>
          <w:bCs/>
          <w:i/>
          <w:color w:val="002060"/>
          <w:sz w:val="24"/>
          <w:szCs w:val="24"/>
          <w:lang w:eastAsia="el-GR"/>
        </w:rPr>
      </w:pPr>
    </w:p>
    <w:p w:rsidR="00506B88" w:rsidRDefault="00506B88">
      <w:pPr>
        <w:spacing w:after="0" w:line="240" w:lineRule="auto"/>
        <w:jc w:val="both"/>
        <w:rPr>
          <w:rFonts w:ascii="Times New Roman" w:eastAsia="Times New Roman" w:hAnsi="Times New Roman" w:cs="Times New Roman"/>
          <w:bCs/>
          <w:i/>
          <w:color w:val="002060"/>
          <w:sz w:val="24"/>
          <w:szCs w:val="24"/>
          <w:lang w:eastAsia="el-GR"/>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246"/>
      </w:tblGrid>
      <w:tr w:rsidR="00506B88">
        <w:tc>
          <w:tcPr>
            <w:tcW w:w="4672" w:type="dxa"/>
          </w:tcPr>
          <w:p w:rsidR="00506B88" w:rsidRDefault="008F66B5">
            <w:pPr>
              <w:spacing w:line="360" w:lineRule="auto"/>
              <w:ind w:firstLine="176"/>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ПОГОДЖЕНО</w:t>
            </w:r>
          </w:p>
          <w:p w:rsidR="00506B88" w:rsidRDefault="008F66B5">
            <w:pPr>
              <w:ind w:firstLine="176"/>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Рішенням Правління </w:t>
            </w:r>
          </w:p>
          <w:p w:rsidR="00506B88" w:rsidRDefault="008F66B5">
            <w:pPr>
              <w:ind w:firstLine="176"/>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АТ «ПІРЕУС БАНК МКБ» </w:t>
            </w:r>
          </w:p>
          <w:p w:rsidR="00506B88" w:rsidRDefault="00506B88">
            <w:pPr>
              <w:ind w:firstLine="176"/>
              <w:rPr>
                <w:rFonts w:ascii="Times New Roman" w:eastAsia="Times New Roman" w:hAnsi="Times New Roman"/>
                <w:b/>
                <w:bCs/>
                <w:color w:val="002060"/>
                <w:sz w:val="24"/>
                <w:szCs w:val="24"/>
                <w:lang w:val="uk-UA" w:eastAsia="el-GR"/>
              </w:rPr>
            </w:pPr>
          </w:p>
          <w:p w:rsidR="00506B88" w:rsidRPr="004161B0" w:rsidRDefault="004161B0">
            <w:pPr>
              <w:ind w:firstLine="176"/>
              <w:rPr>
                <w:rFonts w:ascii="Times New Roman" w:eastAsia="Times New Roman" w:hAnsi="Times New Roman"/>
                <w:b/>
                <w:bCs/>
                <w:color w:val="002060"/>
                <w:sz w:val="24"/>
                <w:szCs w:val="24"/>
                <w:lang w:val="en-US" w:eastAsia="el-GR"/>
              </w:rPr>
            </w:pPr>
            <w:r>
              <w:rPr>
                <w:rFonts w:ascii="Times New Roman" w:eastAsia="Times New Roman" w:hAnsi="Times New Roman"/>
                <w:b/>
                <w:bCs/>
                <w:color w:val="002060"/>
                <w:sz w:val="24"/>
                <w:szCs w:val="24"/>
                <w:lang w:val="uk-UA" w:eastAsia="el-GR"/>
              </w:rPr>
              <w:t xml:space="preserve">Протокол № </w:t>
            </w:r>
            <w:r>
              <w:rPr>
                <w:rFonts w:ascii="Times New Roman" w:eastAsia="Times New Roman" w:hAnsi="Times New Roman"/>
                <w:b/>
                <w:bCs/>
                <w:color w:val="002060"/>
                <w:sz w:val="24"/>
                <w:szCs w:val="24"/>
                <w:lang w:val="en-US" w:eastAsia="el-GR"/>
              </w:rPr>
              <w:t>136_1225</w:t>
            </w:r>
          </w:p>
          <w:p w:rsidR="00506B88" w:rsidRDefault="008F66B5">
            <w:pPr>
              <w:ind w:firstLine="176"/>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від </w:t>
            </w:r>
            <w:r w:rsidR="004161B0">
              <w:rPr>
                <w:rFonts w:ascii="Times New Roman" w:eastAsia="Times New Roman" w:hAnsi="Times New Roman"/>
                <w:b/>
                <w:bCs/>
                <w:color w:val="002060"/>
                <w:sz w:val="24"/>
                <w:szCs w:val="24"/>
                <w:lang w:val="en-US" w:eastAsia="el-GR"/>
              </w:rPr>
              <w:t>19</w:t>
            </w:r>
            <w:r w:rsidR="004161B0">
              <w:rPr>
                <w:rFonts w:ascii="Times New Roman" w:eastAsia="Times New Roman" w:hAnsi="Times New Roman"/>
                <w:b/>
                <w:bCs/>
                <w:color w:val="002060"/>
                <w:sz w:val="24"/>
                <w:szCs w:val="24"/>
                <w:lang w:val="uk-UA" w:eastAsia="el-GR"/>
              </w:rPr>
              <w:t>.</w:t>
            </w:r>
            <w:r w:rsidR="004161B0">
              <w:rPr>
                <w:rFonts w:ascii="Times New Roman" w:eastAsia="Times New Roman" w:hAnsi="Times New Roman"/>
                <w:b/>
                <w:bCs/>
                <w:color w:val="002060"/>
                <w:sz w:val="24"/>
                <w:szCs w:val="24"/>
                <w:lang w:val="en-US" w:eastAsia="el-GR"/>
              </w:rPr>
              <w:t>12</w:t>
            </w:r>
            <w:r w:rsidR="004161B0">
              <w:rPr>
                <w:rFonts w:ascii="Times New Roman" w:eastAsia="Times New Roman" w:hAnsi="Times New Roman"/>
                <w:b/>
                <w:bCs/>
                <w:color w:val="002060"/>
                <w:sz w:val="24"/>
                <w:szCs w:val="24"/>
                <w:lang w:val="uk-UA" w:eastAsia="el-GR"/>
              </w:rPr>
              <w:t>.</w:t>
            </w:r>
            <w:r w:rsidR="004161B0">
              <w:rPr>
                <w:rFonts w:ascii="Times New Roman" w:eastAsia="Times New Roman" w:hAnsi="Times New Roman"/>
                <w:b/>
                <w:bCs/>
                <w:color w:val="002060"/>
                <w:sz w:val="24"/>
                <w:szCs w:val="24"/>
                <w:lang w:val="en-US" w:eastAsia="el-GR"/>
              </w:rPr>
              <w:t>2025</w:t>
            </w:r>
            <w:r w:rsidR="004161B0">
              <w:rPr>
                <w:rFonts w:ascii="Times New Roman" w:eastAsia="Times New Roman" w:hAnsi="Times New Roman"/>
                <w:b/>
                <w:bCs/>
                <w:color w:val="002060"/>
                <w:sz w:val="24"/>
                <w:szCs w:val="24"/>
                <w:lang w:val="uk-UA" w:eastAsia="el-GR"/>
              </w:rPr>
              <w:t xml:space="preserve"> </w:t>
            </w:r>
            <w:r>
              <w:rPr>
                <w:rFonts w:ascii="Times New Roman" w:eastAsia="Times New Roman" w:hAnsi="Times New Roman"/>
                <w:b/>
                <w:bCs/>
                <w:color w:val="002060"/>
                <w:sz w:val="24"/>
                <w:szCs w:val="24"/>
                <w:lang w:val="uk-UA" w:eastAsia="el-GR"/>
              </w:rPr>
              <w:t xml:space="preserve"> </w:t>
            </w:r>
          </w:p>
          <w:p w:rsidR="00506B88" w:rsidRDefault="00506B88">
            <w:pPr>
              <w:jc w:val="center"/>
              <w:rPr>
                <w:rFonts w:ascii="Times New Roman" w:eastAsia="Times New Roman" w:hAnsi="Times New Roman"/>
                <w:bCs/>
                <w:i/>
                <w:color w:val="002060"/>
                <w:sz w:val="24"/>
                <w:szCs w:val="24"/>
                <w:lang w:val="uk-UA" w:eastAsia="el-GR"/>
              </w:rPr>
            </w:pPr>
          </w:p>
        </w:tc>
        <w:tc>
          <w:tcPr>
            <w:tcW w:w="5246" w:type="dxa"/>
          </w:tcPr>
          <w:p w:rsidR="00506B88" w:rsidRDefault="008F66B5">
            <w:pPr>
              <w:ind w:firstLine="1320"/>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ЗАТВЕРДЖЕНО</w:t>
            </w:r>
          </w:p>
          <w:p w:rsidR="00506B88" w:rsidRDefault="00506B88">
            <w:pPr>
              <w:ind w:firstLine="1320"/>
              <w:rPr>
                <w:rFonts w:ascii="Times New Roman" w:eastAsia="Times New Roman" w:hAnsi="Times New Roman"/>
                <w:b/>
                <w:bCs/>
                <w:color w:val="002060"/>
                <w:sz w:val="24"/>
                <w:szCs w:val="24"/>
                <w:lang w:val="uk-UA" w:eastAsia="el-GR"/>
              </w:rPr>
            </w:pPr>
          </w:p>
          <w:p w:rsidR="00506B88" w:rsidRDefault="008F66B5">
            <w:pPr>
              <w:ind w:left="1320"/>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Рішенням Наглядової Ради</w:t>
            </w:r>
          </w:p>
          <w:p w:rsidR="00506B88" w:rsidRDefault="008F66B5">
            <w:pPr>
              <w:ind w:left="1591" w:hanging="271"/>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АТ «ПІРЕУС БАНК МКБ» </w:t>
            </w:r>
          </w:p>
          <w:p w:rsidR="00506B88" w:rsidRDefault="00506B88">
            <w:pPr>
              <w:ind w:firstLine="1320"/>
              <w:rPr>
                <w:rFonts w:ascii="Times New Roman" w:eastAsia="Times New Roman" w:hAnsi="Times New Roman"/>
                <w:b/>
                <w:bCs/>
                <w:color w:val="002060"/>
                <w:sz w:val="24"/>
                <w:szCs w:val="24"/>
                <w:lang w:val="uk-UA" w:eastAsia="el-GR"/>
              </w:rPr>
            </w:pPr>
          </w:p>
          <w:p w:rsidR="00506B88" w:rsidRDefault="008F66B5">
            <w:pPr>
              <w:ind w:firstLine="1320"/>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Протокол № </w:t>
            </w:r>
            <w:r w:rsidR="004161B0" w:rsidRPr="004161B0">
              <w:rPr>
                <w:rFonts w:ascii="Times New Roman" w:eastAsia="Times New Roman" w:hAnsi="Times New Roman"/>
                <w:b/>
                <w:bCs/>
                <w:color w:val="002060"/>
                <w:sz w:val="24"/>
                <w:szCs w:val="24"/>
                <w:lang w:val="uk-UA" w:eastAsia="el-GR"/>
              </w:rPr>
              <w:t>17_25</w:t>
            </w:r>
          </w:p>
          <w:p w:rsidR="00506B88" w:rsidRDefault="004161B0">
            <w:pPr>
              <w:ind w:firstLine="1320"/>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від </w:t>
            </w:r>
            <w:r w:rsidRPr="004161B0">
              <w:rPr>
                <w:rFonts w:ascii="Times New Roman" w:eastAsia="Times New Roman" w:hAnsi="Times New Roman"/>
                <w:b/>
                <w:bCs/>
                <w:color w:val="002060"/>
                <w:sz w:val="24"/>
                <w:szCs w:val="24"/>
                <w:lang w:eastAsia="el-GR"/>
              </w:rPr>
              <w:t>19</w:t>
            </w:r>
            <w:r>
              <w:rPr>
                <w:rFonts w:ascii="Times New Roman" w:eastAsia="Times New Roman" w:hAnsi="Times New Roman"/>
                <w:b/>
                <w:bCs/>
                <w:color w:val="002060"/>
                <w:sz w:val="24"/>
                <w:szCs w:val="24"/>
                <w:lang w:val="uk-UA" w:eastAsia="el-GR"/>
              </w:rPr>
              <w:t>.</w:t>
            </w:r>
            <w:r w:rsidRPr="004161B0">
              <w:rPr>
                <w:rFonts w:ascii="Times New Roman" w:eastAsia="Times New Roman" w:hAnsi="Times New Roman"/>
                <w:b/>
                <w:bCs/>
                <w:color w:val="002060"/>
                <w:sz w:val="24"/>
                <w:szCs w:val="24"/>
                <w:lang w:eastAsia="el-GR"/>
              </w:rPr>
              <w:t>12</w:t>
            </w:r>
            <w:r>
              <w:rPr>
                <w:rFonts w:ascii="Times New Roman" w:eastAsia="Times New Roman" w:hAnsi="Times New Roman"/>
                <w:b/>
                <w:bCs/>
                <w:color w:val="002060"/>
                <w:sz w:val="24"/>
                <w:szCs w:val="24"/>
                <w:lang w:val="uk-UA" w:eastAsia="el-GR"/>
              </w:rPr>
              <w:t>.</w:t>
            </w:r>
            <w:r w:rsidRPr="004161B0">
              <w:rPr>
                <w:rFonts w:ascii="Times New Roman" w:eastAsia="Times New Roman" w:hAnsi="Times New Roman"/>
                <w:b/>
                <w:bCs/>
                <w:color w:val="002060"/>
                <w:sz w:val="24"/>
                <w:szCs w:val="24"/>
                <w:lang w:eastAsia="el-GR"/>
              </w:rPr>
              <w:t>2025</w:t>
            </w:r>
            <w:r w:rsidR="008F66B5">
              <w:rPr>
                <w:rFonts w:ascii="Times New Roman" w:eastAsia="Times New Roman" w:hAnsi="Times New Roman"/>
                <w:b/>
                <w:bCs/>
                <w:color w:val="002060"/>
                <w:sz w:val="24"/>
                <w:szCs w:val="24"/>
                <w:lang w:val="uk-UA" w:eastAsia="el-GR"/>
              </w:rPr>
              <w:t xml:space="preserve"> </w:t>
            </w:r>
          </w:p>
          <w:p w:rsidR="00506B88" w:rsidRDefault="00506B88">
            <w:pPr>
              <w:ind w:firstLine="1320"/>
              <w:rPr>
                <w:rFonts w:ascii="Times New Roman" w:eastAsia="Times New Roman" w:hAnsi="Times New Roman"/>
                <w:b/>
                <w:bCs/>
                <w:color w:val="002060"/>
                <w:sz w:val="24"/>
                <w:szCs w:val="24"/>
                <w:lang w:val="uk-UA" w:eastAsia="el-GR"/>
              </w:rPr>
            </w:pPr>
          </w:p>
          <w:p w:rsidR="00506B88" w:rsidRDefault="00506B88">
            <w:pPr>
              <w:ind w:firstLine="1320"/>
              <w:rPr>
                <w:rFonts w:ascii="Times New Roman" w:eastAsia="Times New Roman" w:hAnsi="Times New Roman"/>
                <w:b/>
                <w:bCs/>
                <w:color w:val="002060"/>
                <w:sz w:val="24"/>
                <w:szCs w:val="24"/>
                <w:lang w:val="uk-UA" w:eastAsia="el-GR"/>
              </w:rPr>
            </w:pPr>
          </w:p>
          <w:p w:rsidR="00506B88" w:rsidRDefault="008F66B5">
            <w:pPr>
              <w:ind w:firstLine="1320"/>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Вступає в дію з </w:t>
            </w:r>
            <w:r w:rsidR="004161B0" w:rsidRPr="004161B0">
              <w:rPr>
                <w:rFonts w:ascii="Times New Roman" w:eastAsia="Times New Roman" w:hAnsi="Times New Roman"/>
                <w:b/>
                <w:bCs/>
                <w:color w:val="002060"/>
                <w:sz w:val="24"/>
                <w:szCs w:val="24"/>
                <w:lang w:eastAsia="el-GR"/>
              </w:rPr>
              <w:t>19</w:t>
            </w:r>
            <w:r w:rsidR="004161B0">
              <w:rPr>
                <w:rFonts w:ascii="Times New Roman" w:eastAsia="Times New Roman" w:hAnsi="Times New Roman"/>
                <w:b/>
                <w:bCs/>
                <w:color w:val="002060"/>
                <w:sz w:val="24"/>
                <w:szCs w:val="24"/>
                <w:lang w:val="uk-UA" w:eastAsia="el-GR"/>
              </w:rPr>
              <w:t>.</w:t>
            </w:r>
            <w:r w:rsidR="004161B0" w:rsidRPr="004161B0">
              <w:rPr>
                <w:rFonts w:ascii="Times New Roman" w:eastAsia="Times New Roman" w:hAnsi="Times New Roman"/>
                <w:b/>
                <w:bCs/>
                <w:color w:val="002060"/>
                <w:sz w:val="24"/>
                <w:szCs w:val="24"/>
                <w:lang w:eastAsia="el-GR"/>
              </w:rPr>
              <w:t>12</w:t>
            </w:r>
            <w:r w:rsidR="004161B0">
              <w:rPr>
                <w:rFonts w:ascii="Times New Roman" w:eastAsia="Times New Roman" w:hAnsi="Times New Roman"/>
                <w:b/>
                <w:bCs/>
                <w:color w:val="002060"/>
                <w:sz w:val="24"/>
                <w:szCs w:val="24"/>
                <w:lang w:val="uk-UA" w:eastAsia="el-GR"/>
              </w:rPr>
              <w:t>.</w:t>
            </w:r>
            <w:r w:rsidR="004161B0" w:rsidRPr="004161B0">
              <w:rPr>
                <w:rFonts w:ascii="Times New Roman" w:eastAsia="Times New Roman" w:hAnsi="Times New Roman"/>
                <w:b/>
                <w:bCs/>
                <w:color w:val="002060"/>
                <w:sz w:val="24"/>
                <w:szCs w:val="24"/>
                <w:lang w:eastAsia="el-GR"/>
              </w:rPr>
              <w:t>2025</w:t>
            </w:r>
            <w:r w:rsidR="004161B0">
              <w:rPr>
                <w:rFonts w:ascii="Times New Roman" w:eastAsia="Times New Roman" w:hAnsi="Times New Roman"/>
                <w:b/>
                <w:bCs/>
                <w:color w:val="002060"/>
                <w:sz w:val="24"/>
                <w:szCs w:val="24"/>
                <w:lang w:val="uk-UA" w:eastAsia="el-GR"/>
              </w:rPr>
              <w:t xml:space="preserve"> </w:t>
            </w:r>
            <w:r>
              <w:rPr>
                <w:rFonts w:ascii="Times New Roman" w:eastAsia="Times New Roman" w:hAnsi="Times New Roman"/>
                <w:b/>
                <w:bCs/>
                <w:color w:val="002060"/>
                <w:sz w:val="24"/>
                <w:szCs w:val="24"/>
                <w:lang w:val="uk-UA" w:eastAsia="el-GR"/>
              </w:rPr>
              <w:t xml:space="preserve">                  </w:t>
            </w:r>
          </w:p>
          <w:p w:rsidR="00506B88" w:rsidRDefault="00506B88">
            <w:pPr>
              <w:ind w:firstLine="1320"/>
              <w:rPr>
                <w:rFonts w:ascii="Times New Roman" w:eastAsia="Times New Roman" w:hAnsi="Times New Roman"/>
                <w:bCs/>
                <w:i/>
                <w:color w:val="002060"/>
                <w:sz w:val="24"/>
                <w:szCs w:val="24"/>
                <w:lang w:val="uk-UA" w:eastAsia="el-GR"/>
              </w:rPr>
            </w:pPr>
          </w:p>
        </w:tc>
      </w:tr>
    </w:tbl>
    <w:p w:rsidR="00506B88" w:rsidRDefault="00506B88">
      <w:pPr>
        <w:spacing w:after="0" w:line="240" w:lineRule="auto"/>
        <w:jc w:val="both"/>
        <w:rPr>
          <w:rFonts w:ascii="Times New Roman" w:eastAsia="Times New Roman" w:hAnsi="Times New Roman" w:cs="Times New Roman"/>
          <w:b/>
          <w:bCs/>
          <w:i/>
          <w:color w:val="002060"/>
          <w:sz w:val="24"/>
          <w:szCs w:val="24"/>
          <w:lang w:eastAsia="el-GR"/>
        </w:rPr>
      </w:pPr>
    </w:p>
    <w:p w:rsidR="00506B88" w:rsidRDefault="00506B88">
      <w:pPr>
        <w:spacing w:after="0" w:line="240" w:lineRule="auto"/>
        <w:jc w:val="both"/>
        <w:rPr>
          <w:rFonts w:ascii="Times New Roman" w:eastAsia="Times New Roman" w:hAnsi="Times New Roman" w:cs="Times New Roman"/>
          <w:b/>
          <w:bCs/>
          <w:color w:val="002060"/>
          <w:sz w:val="24"/>
          <w:szCs w:val="24"/>
          <w:lang w:eastAsia="el-GR"/>
        </w:rPr>
      </w:pPr>
    </w:p>
    <w:p w:rsidR="00506B88" w:rsidRDefault="00506B88">
      <w:pPr>
        <w:spacing w:after="0" w:line="240" w:lineRule="auto"/>
        <w:jc w:val="center"/>
        <w:rPr>
          <w:rFonts w:ascii="Times New Roman" w:eastAsia="Times New Roman" w:hAnsi="Times New Roman" w:cs="Times New Roman"/>
          <w:bCs/>
          <w:i/>
          <w:color w:val="002060"/>
          <w:sz w:val="24"/>
          <w:szCs w:val="24"/>
          <w:lang w:eastAsia="el-GR"/>
        </w:rPr>
      </w:pPr>
    </w:p>
    <w:p w:rsidR="00506B88" w:rsidRDefault="00506B88">
      <w:pPr>
        <w:spacing w:after="0" w:line="240" w:lineRule="auto"/>
        <w:jc w:val="center"/>
        <w:rPr>
          <w:rFonts w:ascii="Times New Roman" w:eastAsia="Times New Roman" w:hAnsi="Times New Roman" w:cs="Times New Roman"/>
          <w:bCs/>
          <w:i/>
          <w:color w:val="002060"/>
          <w:sz w:val="24"/>
          <w:szCs w:val="24"/>
          <w:lang w:eastAsia="el-GR"/>
        </w:rPr>
      </w:pPr>
    </w:p>
    <w:p w:rsidR="00506B88" w:rsidRDefault="00506B88">
      <w:pPr>
        <w:spacing w:after="0" w:line="240" w:lineRule="auto"/>
        <w:jc w:val="center"/>
        <w:rPr>
          <w:rFonts w:ascii="Times New Roman" w:eastAsia="Times New Roman" w:hAnsi="Times New Roman" w:cs="Times New Roman"/>
          <w:bCs/>
          <w:i/>
          <w:color w:val="002060"/>
          <w:sz w:val="24"/>
          <w:szCs w:val="24"/>
          <w:lang w:eastAsia="el-GR"/>
        </w:rPr>
      </w:pPr>
    </w:p>
    <w:p w:rsidR="00506B88" w:rsidRDefault="008F66B5">
      <w:pPr>
        <w:spacing w:after="0" w:line="240" w:lineRule="auto"/>
        <w:jc w:val="center"/>
        <w:rPr>
          <w:rFonts w:ascii="Times New Roman" w:eastAsia="Times New Roman" w:hAnsi="Times New Roman" w:cs="Times New Roman"/>
          <w:b/>
          <w:bCs/>
          <w:color w:val="002060"/>
          <w:sz w:val="28"/>
          <w:szCs w:val="28"/>
          <w:lang w:eastAsia="el-GR"/>
        </w:rPr>
      </w:pPr>
      <w:r>
        <w:rPr>
          <w:rFonts w:ascii="Times New Roman" w:eastAsia="Times New Roman" w:hAnsi="Times New Roman" w:cs="Times New Roman"/>
          <w:b/>
          <w:bCs/>
          <w:color w:val="002060"/>
          <w:sz w:val="28"/>
          <w:szCs w:val="28"/>
          <w:lang w:eastAsia="el-GR"/>
        </w:rPr>
        <w:t>ПОЛІТИКА</w:t>
      </w:r>
    </w:p>
    <w:p w:rsidR="00506B88" w:rsidRDefault="008F66B5">
      <w:pPr>
        <w:spacing w:after="0" w:line="240" w:lineRule="auto"/>
        <w:jc w:val="center"/>
        <w:rPr>
          <w:rFonts w:ascii="Times New Roman" w:eastAsia="Times New Roman" w:hAnsi="Times New Roman" w:cs="Times New Roman"/>
          <w:b/>
          <w:bCs/>
          <w:color w:val="002060"/>
          <w:sz w:val="28"/>
          <w:szCs w:val="28"/>
          <w:lang w:eastAsia="el-GR"/>
        </w:rPr>
      </w:pPr>
      <w:r>
        <w:rPr>
          <w:rFonts w:ascii="Times New Roman" w:eastAsia="Times New Roman" w:hAnsi="Times New Roman" w:cs="Times New Roman"/>
          <w:b/>
          <w:bCs/>
          <w:color w:val="002060"/>
          <w:sz w:val="28"/>
          <w:szCs w:val="28"/>
          <w:lang w:eastAsia="el-GR"/>
        </w:rPr>
        <w:t xml:space="preserve">УПРАВЛІННЯ ЕКОЛОГІЧНИМИ, СОЦІАЛЬНИМИ ТА УПРАВЛІНСЬКИМИ РИЗИКАМИ </w:t>
      </w:r>
    </w:p>
    <w:p w:rsidR="00506B88" w:rsidRDefault="00506B88">
      <w:pPr>
        <w:spacing w:after="0" w:line="240" w:lineRule="auto"/>
        <w:jc w:val="center"/>
        <w:rPr>
          <w:rFonts w:ascii="Times New Roman" w:eastAsia="Times New Roman" w:hAnsi="Times New Roman" w:cs="Times New Roman"/>
          <w:b/>
          <w:bCs/>
          <w:color w:val="002060"/>
          <w:sz w:val="28"/>
          <w:szCs w:val="28"/>
          <w:lang w:eastAsia="el-GR"/>
        </w:rPr>
      </w:pPr>
    </w:p>
    <w:p w:rsidR="00506B88" w:rsidRDefault="008F66B5">
      <w:pPr>
        <w:tabs>
          <w:tab w:val="left" w:pos="4395"/>
        </w:tabs>
        <w:ind w:left="1591" w:firstLine="1670"/>
        <w:rPr>
          <w:rFonts w:ascii="Times New Roman" w:eastAsia="Times New Roman" w:hAnsi="Times New Roman"/>
          <w:b/>
          <w:bCs/>
          <w:color w:val="002060"/>
          <w:sz w:val="28"/>
          <w:szCs w:val="28"/>
          <w:lang w:eastAsia="el-GR"/>
        </w:rPr>
      </w:pPr>
      <w:r>
        <w:rPr>
          <w:rFonts w:ascii="Times New Roman" w:eastAsia="Times New Roman" w:hAnsi="Times New Roman"/>
          <w:b/>
          <w:bCs/>
          <w:color w:val="002060"/>
          <w:sz w:val="28"/>
          <w:szCs w:val="28"/>
          <w:lang w:eastAsia="el-GR"/>
        </w:rPr>
        <w:t>АТ «ПІРЕУС БАНК МКБ»</w:t>
      </w:r>
    </w:p>
    <w:p w:rsidR="00506B88" w:rsidRDefault="00506B88">
      <w:pPr>
        <w:spacing w:after="0" w:line="240" w:lineRule="auto"/>
        <w:jc w:val="center"/>
        <w:rPr>
          <w:rFonts w:ascii="Times New Roman" w:eastAsia="Times New Roman" w:hAnsi="Times New Roman" w:cs="Times New Roman"/>
          <w:bCs/>
          <w:i/>
          <w:color w:val="002060"/>
          <w:sz w:val="24"/>
          <w:szCs w:val="24"/>
          <w:lang w:eastAsia="el-GR"/>
        </w:rPr>
      </w:pPr>
    </w:p>
    <w:p w:rsidR="00506B88" w:rsidRDefault="00506B88">
      <w:pPr>
        <w:spacing w:after="0" w:line="240" w:lineRule="auto"/>
        <w:jc w:val="center"/>
        <w:rPr>
          <w:rFonts w:ascii="Times New Roman" w:eastAsia="Times New Roman" w:hAnsi="Times New Roman" w:cs="Times New Roman"/>
          <w:bCs/>
          <w:i/>
          <w:color w:val="002060"/>
          <w:sz w:val="24"/>
          <w:szCs w:val="24"/>
          <w:lang w:eastAsia="el-GR"/>
        </w:rPr>
      </w:pPr>
    </w:p>
    <w:p w:rsidR="00506B88" w:rsidRDefault="00506B88">
      <w:pPr>
        <w:pBdr>
          <w:top w:val="none" w:sz="4" w:space="31" w:color="000000"/>
        </w:pBdr>
        <w:spacing w:after="0" w:line="240" w:lineRule="auto"/>
        <w:jc w:val="center"/>
        <w:rPr>
          <w:rFonts w:ascii="Times New Roman" w:eastAsia="Times New Roman" w:hAnsi="Times New Roman" w:cs="Times New Roman"/>
          <w:bCs/>
          <w:color w:val="002060"/>
          <w:sz w:val="24"/>
          <w:szCs w:val="24"/>
          <w:lang w:eastAsia="el-GR"/>
        </w:rPr>
      </w:pPr>
    </w:p>
    <w:p w:rsidR="00506B88" w:rsidRDefault="00506B88">
      <w:pPr>
        <w:pBdr>
          <w:top w:val="none" w:sz="4" w:space="31" w:color="000000"/>
        </w:pBdr>
        <w:spacing w:after="0" w:line="240" w:lineRule="auto"/>
        <w:jc w:val="center"/>
        <w:rPr>
          <w:rFonts w:ascii="Times New Roman" w:eastAsia="Times New Roman" w:hAnsi="Times New Roman" w:cs="Times New Roman"/>
          <w:bCs/>
          <w:color w:val="002060"/>
          <w:sz w:val="24"/>
          <w:szCs w:val="24"/>
          <w:lang w:eastAsia="el-GR"/>
        </w:rPr>
      </w:pPr>
    </w:p>
    <w:p w:rsidR="00506B88" w:rsidRDefault="00506B88">
      <w:pPr>
        <w:pBdr>
          <w:top w:val="none" w:sz="4" w:space="31" w:color="000000"/>
        </w:pBdr>
        <w:spacing w:after="0" w:line="240" w:lineRule="auto"/>
        <w:jc w:val="center"/>
        <w:rPr>
          <w:rFonts w:ascii="Times New Roman" w:eastAsia="Times New Roman" w:hAnsi="Times New Roman" w:cs="Times New Roman"/>
          <w:bCs/>
          <w:color w:val="002060"/>
          <w:sz w:val="24"/>
          <w:szCs w:val="24"/>
          <w:lang w:eastAsia="el-GR"/>
        </w:rPr>
      </w:pPr>
    </w:p>
    <w:p w:rsidR="00506B88" w:rsidRDefault="00506B88">
      <w:pPr>
        <w:pBdr>
          <w:top w:val="none" w:sz="4" w:space="31" w:color="000000"/>
        </w:pBdr>
        <w:spacing w:after="0" w:line="240" w:lineRule="auto"/>
        <w:jc w:val="center"/>
        <w:rPr>
          <w:rFonts w:ascii="Times New Roman" w:eastAsia="Times New Roman" w:hAnsi="Times New Roman" w:cs="Times New Roman"/>
          <w:bCs/>
          <w:color w:val="002060"/>
          <w:sz w:val="24"/>
          <w:szCs w:val="24"/>
          <w:lang w:eastAsia="el-GR"/>
        </w:rPr>
      </w:pPr>
    </w:p>
    <w:p w:rsidR="00506B88" w:rsidRDefault="00506B88">
      <w:pPr>
        <w:pBdr>
          <w:top w:val="none" w:sz="4" w:space="31" w:color="000000"/>
        </w:pBdr>
        <w:spacing w:after="0" w:line="240" w:lineRule="auto"/>
        <w:rPr>
          <w:rFonts w:ascii="Times New Roman" w:eastAsia="Times New Roman" w:hAnsi="Times New Roman" w:cs="Times New Roman"/>
          <w:bCs/>
          <w:color w:val="002060"/>
          <w:sz w:val="24"/>
          <w:szCs w:val="24"/>
          <w:lang w:eastAsia="el-GR"/>
        </w:rPr>
      </w:pPr>
    </w:p>
    <w:p w:rsidR="00506B88" w:rsidRDefault="00506B88">
      <w:pPr>
        <w:pBdr>
          <w:top w:val="none" w:sz="4" w:space="31" w:color="000000"/>
        </w:pBdr>
        <w:spacing w:after="0" w:line="240" w:lineRule="auto"/>
        <w:jc w:val="center"/>
        <w:rPr>
          <w:rFonts w:ascii="Times New Roman" w:eastAsia="Times New Roman" w:hAnsi="Times New Roman" w:cs="Times New Roman"/>
          <w:bCs/>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EF6360" w:rsidRDefault="008F66B5" w:rsidP="004161B0">
      <w:pPr>
        <w:spacing w:before="100" w:beforeAutospacing="1" w:after="100" w:afterAutospacing="1" w:line="240" w:lineRule="auto"/>
        <w:jc w:val="center"/>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КИЇВ</w:t>
      </w:r>
    </w:p>
    <w:p w:rsidR="00506B88" w:rsidRPr="00EA7064" w:rsidRDefault="008F66B5" w:rsidP="005E4A71">
      <w:pPr>
        <w:spacing w:before="100" w:beforeAutospacing="1" w:after="100" w:afterAutospacing="1" w:line="240" w:lineRule="auto"/>
        <w:ind w:firstLine="567"/>
        <w:rPr>
          <w:rFonts w:ascii="Times New Roman" w:hAnsi="Times New Roman"/>
          <w:b/>
          <w:color w:val="002060"/>
        </w:rPr>
      </w:pPr>
      <w:r w:rsidRPr="00EA7064">
        <w:rPr>
          <w:rFonts w:ascii="Times New Roman" w:hAnsi="Times New Roman" w:cs="Times New Roman"/>
          <w:b/>
          <w:color w:val="002060"/>
        </w:rPr>
        <w:lastRenderedPageBreak/>
        <w:t>РЕЗЮМЕ</w:t>
      </w:r>
    </w:p>
    <w:p w:rsidR="00506B88" w:rsidRDefault="008F66B5">
      <w:p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Політика управління екологічними, соціальними та управлінськими ризиками (ESG-ризиками) в АТ «ПІРЕУС БАНК МКБ» визначає принципи та механізми ідентифікації, оцінки, моніторингу та управління ESG-ризиками, що виникають у діяльності Банку та його клієнтів.</w:t>
      </w:r>
    </w:p>
    <w:p w:rsidR="00506B88" w:rsidRDefault="008F66B5">
      <w:p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Документ є адаптацією внутрішньогрупової політики </w:t>
      </w:r>
      <w:r>
        <w:rPr>
          <w:rFonts w:ascii="Times New Roman" w:hAnsi="Times New Roman" w:cs="Times New Roman"/>
          <w:color w:val="002060"/>
          <w:sz w:val="24"/>
          <w:szCs w:val="24"/>
          <w:lang w:val="en-US"/>
        </w:rPr>
        <w:t>Piraeus</w:t>
      </w:r>
      <w:r>
        <w:rPr>
          <w:rFonts w:ascii="Times New Roman" w:hAnsi="Times New Roman" w:cs="Times New Roman"/>
          <w:color w:val="002060"/>
          <w:sz w:val="24"/>
          <w:szCs w:val="24"/>
        </w:rPr>
        <w:t xml:space="preserve"> </w:t>
      </w:r>
      <w:r>
        <w:rPr>
          <w:rFonts w:ascii="Times New Roman" w:hAnsi="Times New Roman" w:cs="Times New Roman"/>
          <w:color w:val="002060"/>
          <w:sz w:val="24"/>
          <w:szCs w:val="24"/>
          <w:lang w:val="en-US"/>
        </w:rPr>
        <w:t>Bank</w:t>
      </w:r>
      <w:r>
        <w:rPr>
          <w:rFonts w:ascii="Times New Roman" w:hAnsi="Times New Roman" w:cs="Times New Roman"/>
          <w:color w:val="002060"/>
          <w:sz w:val="24"/>
          <w:szCs w:val="24"/>
        </w:rPr>
        <w:t xml:space="preserve"> </w:t>
      </w:r>
      <w:r>
        <w:rPr>
          <w:rFonts w:ascii="Times New Roman" w:hAnsi="Times New Roman" w:cs="Times New Roman"/>
          <w:color w:val="002060"/>
          <w:sz w:val="24"/>
          <w:szCs w:val="24"/>
          <w:lang w:val="en-US"/>
        </w:rPr>
        <w:t>S</w:t>
      </w:r>
      <w:r>
        <w:rPr>
          <w:rFonts w:ascii="Times New Roman" w:hAnsi="Times New Roman" w:cs="Times New Roman"/>
          <w:color w:val="002060"/>
          <w:sz w:val="24"/>
          <w:szCs w:val="24"/>
        </w:rPr>
        <w:t>.</w:t>
      </w:r>
      <w:r>
        <w:rPr>
          <w:rFonts w:ascii="Times New Roman" w:hAnsi="Times New Roman" w:cs="Times New Roman"/>
          <w:color w:val="002060"/>
          <w:sz w:val="24"/>
          <w:szCs w:val="24"/>
          <w:lang w:val="en-US"/>
        </w:rPr>
        <w:t>A</w:t>
      </w:r>
      <w:r>
        <w:rPr>
          <w:rFonts w:ascii="Times New Roman" w:hAnsi="Times New Roman" w:cs="Times New Roman"/>
          <w:color w:val="002060"/>
          <w:sz w:val="24"/>
          <w:szCs w:val="24"/>
        </w:rPr>
        <w:t>. та враховує вимоги національного законодавства України, нормативно-правових актів НБУ, міжнародних стандартів (Принципи Екватора, стандарти МФК, вимоги ЄБРР), а також політику сталого розвитку Групи.</w:t>
      </w:r>
    </w:p>
    <w:p w:rsidR="00506B88" w:rsidRDefault="008F66B5">
      <w:p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Документ встановлює:</w:t>
      </w:r>
    </w:p>
    <w:p w:rsidR="00506B88" w:rsidRDefault="008F66B5">
      <w:pPr>
        <w:numPr>
          <w:ilvl w:val="0"/>
          <w:numId w:val="10"/>
        </w:num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Систему екологічного, соціального та управлінського менеджменту (СЕСУМ) як інтегрований механізм управління ризиками.</w:t>
      </w:r>
    </w:p>
    <w:p w:rsidR="00506B88" w:rsidRDefault="008F66B5">
      <w:pPr>
        <w:numPr>
          <w:ilvl w:val="0"/>
          <w:numId w:val="10"/>
        </w:num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Процедури оцінки ризиків під час кредитування та інвестиційної діяльності.</w:t>
      </w:r>
    </w:p>
    <w:p w:rsidR="00506B88" w:rsidRDefault="008F66B5">
      <w:pPr>
        <w:numPr>
          <w:ilvl w:val="0"/>
          <w:numId w:val="10"/>
        </w:num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Перелік винятків для фінансування, критерії категоризації ризиків та вимоги до моніторингу.</w:t>
      </w:r>
    </w:p>
    <w:p w:rsidR="00506B88" w:rsidRDefault="008F66B5">
      <w:pPr>
        <w:numPr>
          <w:ilvl w:val="0"/>
          <w:numId w:val="10"/>
        </w:num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Ролі та відповідальність органів управління, підрозділів Банку, CRO, Управління ризик-менеджменту та спеціалістів із зеленого банкінгу.</w:t>
      </w:r>
    </w:p>
    <w:p w:rsidR="00506B88" w:rsidRDefault="008F66B5">
      <w:pPr>
        <w:numPr>
          <w:ilvl w:val="0"/>
          <w:numId w:val="10"/>
        </w:num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Систему внутрішнього та зовнішнього звітування, включаючи щорічний перегляд та вдосконалення СЕСУМ.</w:t>
      </w:r>
    </w:p>
    <w:p w:rsidR="00506B88" w:rsidRDefault="008F66B5">
      <w:p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Метою документа є забезпечення сталого розвитку, підвищення ефективності ризик-менеджменту, прозорості діяльності та довіри зацікавлених сторін, а також гармонізація політики Банку з практиками ЄС та міжнародними зобов’язаннями.</w:t>
      </w: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Pr="004161B0" w:rsidRDefault="004161B0">
      <w:pPr>
        <w:pStyle w:val="Heading1"/>
        <w:ind w:left="567"/>
        <w:rPr>
          <w:rFonts w:ascii="Times New Roman" w:hAnsi="Times New Roman"/>
          <w:b/>
          <w:color w:val="002060"/>
          <w:szCs w:val="24"/>
        </w:rPr>
      </w:pPr>
      <w:r w:rsidRPr="004161B0">
        <w:rPr>
          <w:rFonts w:ascii="Times New Roman" w:hAnsi="Times New Roman"/>
          <w:b/>
          <w:color w:val="002060"/>
          <w:szCs w:val="24"/>
        </w:rPr>
        <w:lastRenderedPageBreak/>
        <w:t>ЗМІСТ</w:t>
      </w:r>
    </w:p>
    <w:p w:rsidR="00135326" w:rsidRPr="004161B0" w:rsidRDefault="008F66B5">
      <w:pPr>
        <w:pStyle w:val="TOC1"/>
        <w:tabs>
          <w:tab w:val="right" w:leader="dot" w:pos="9628"/>
        </w:tabs>
        <w:rPr>
          <w:rFonts w:ascii="Times New Roman" w:eastAsiaTheme="minorEastAsia" w:hAnsi="Times New Roman" w:cs="Times New Roman"/>
          <w:b w:val="0"/>
          <w:noProof/>
          <w:color w:val="auto"/>
          <w:sz w:val="24"/>
          <w:szCs w:val="24"/>
          <w:lang w:eastAsia="uk-UA"/>
        </w:rPr>
      </w:pPr>
      <w:r w:rsidRPr="004161B0">
        <w:rPr>
          <w:rFonts w:ascii="Times New Roman" w:hAnsi="Times New Roman" w:cs="Times New Roman"/>
          <w:b w:val="0"/>
          <w:bCs/>
          <w:sz w:val="24"/>
          <w:szCs w:val="24"/>
        </w:rPr>
        <w:fldChar w:fldCharType="begin"/>
      </w:r>
      <w:r w:rsidRPr="004161B0">
        <w:rPr>
          <w:rFonts w:ascii="Times New Roman" w:hAnsi="Times New Roman" w:cs="Times New Roman"/>
          <w:bCs/>
          <w:sz w:val="24"/>
          <w:szCs w:val="24"/>
        </w:rPr>
        <w:instrText xml:space="preserve"> TOC \o "1-3" \h \z \u </w:instrText>
      </w:r>
      <w:r w:rsidRPr="004161B0">
        <w:rPr>
          <w:rFonts w:ascii="Times New Roman" w:hAnsi="Times New Roman" w:cs="Times New Roman"/>
          <w:b w:val="0"/>
          <w:bCs/>
          <w:sz w:val="24"/>
          <w:szCs w:val="24"/>
        </w:rPr>
        <w:fldChar w:fldCharType="separate"/>
      </w:r>
      <w:hyperlink w:anchor="_Toc216290567" w:history="1">
        <w:r w:rsidR="00135326" w:rsidRPr="004161B0">
          <w:rPr>
            <w:rStyle w:val="Hyperlink"/>
            <w:rFonts w:ascii="Times New Roman" w:hAnsi="Times New Roman" w:cs="Times New Roman"/>
            <w:noProof/>
            <w:sz w:val="24"/>
            <w:szCs w:val="24"/>
          </w:rPr>
          <w:t>1. ЗАГАЛЬНІ ПОЛОЖЕННЯ</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_Toc216290567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3</w:t>
        </w:r>
        <w:r w:rsidR="00135326" w:rsidRPr="004161B0">
          <w:rPr>
            <w:rFonts w:ascii="Times New Roman" w:hAnsi="Times New Roman" w:cs="Times New Roman"/>
            <w:noProof/>
            <w:webHidden/>
            <w:sz w:val="24"/>
            <w:szCs w:val="24"/>
          </w:rPr>
          <w:fldChar w:fldCharType="end"/>
        </w:r>
      </w:hyperlink>
    </w:p>
    <w:p w:rsidR="00135326" w:rsidRPr="004161B0" w:rsidRDefault="0059340B">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68" w:history="1">
        <w:r w:rsidR="00135326" w:rsidRPr="004161B0">
          <w:rPr>
            <w:rStyle w:val="Hyperlink"/>
            <w:rFonts w:ascii="Times New Roman" w:hAnsi="Times New Roman" w:cs="Times New Roman"/>
            <w:noProof/>
            <w:sz w:val="24"/>
            <w:szCs w:val="24"/>
          </w:rPr>
          <w:t>2. ТЕРМІНИ ТА СКОРОЧЕННЯ</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_Toc216290568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5</w:t>
        </w:r>
        <w:r w:rsidR="00135326" w:rsidRPr="004161B0">
          <w:rPr>
            <w:rFonts w:ascii="Times New Roman" w:hAnsi="Times New Roman" w:cs="Times New Roman"/>
            <w:noProof/>
            <w:webHidden/>
            <w:sz w:val="24"/>
            <w:szCs w:val="24"/>
          </w:rPr>
          <w:fldChar w:fldCharType="end"/>
        </w:r>
      </w:hyperlink>
    </w:p>
    <w:p w:rsidR="00135326" w:rsidRPr="004161B0" w:rsidRDefault="0059340B">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69" w:history="1">
        <w:r w:rsidR="00135326" w:rsidRPr="004161B0">
          <w:rPr>
            <w:rStyle w:val="Hyperlink"/>
            <w:rFonts w:ascii="Times New Roman" w:hAnsi="Times New Roman" w:cs="Times New Roman"/>
            <w:noProof/>
            <w:sz w:val="24"/>
            <w:szCs w:val="24"/>
          </w:rPr>
          <w:t xml:space="preserve">3. </w:t>
        </w:r>
        <w:r w:rsidR="00135326" w:rsidRPr="004161B0">
          <w:rPr>
            <w:rStyle w:val="Hyperlink"/>
            <w:rFonts w:ascii="Times New Roman" w:hAnsi="Times New Roman" w:cs="Times New Roman"/>
            <w:noProof/>
            <w:sz w:val="24"/>
            <w:szCs w:val="24"/>
            <w:lang w:val="ru-RU"/>
          </w:rPr>
          <w:t>ОСНОВНА ЧАСТИНА. С</w:t>
        </w:r>
        <w:r w:rsidR="00135326" w:rsidRPr="004161B0">
          <w:rPr>
            <w:rStyle w:val="Hyperlink"/>
            <w:rFonts w:ascii="Times New Roman" w:hAnsi="Times New Roman" w:cs="Times New Roman"/>
            <w:noProof/>
            <w:sz w:val="24"/>
            <w:szCs w:val="24"/>
          </w:rPr>
          <w:t>ИСТЕМА ЕКОЛОГІЧНОГО, СОЦІАЛЬНОГО ТА УПРАВЛІНСЬКОГО МЕНЕДЖМЕНТУ</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_Toc216290569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5</w:t>
        </w:r>
        <w:r w:rsidR="00135326" w:rsidRPr="004161B0">
          <w:rPr>
            <w:rFonts w:ascii="Times New Roman" w:hAnsi="Times New Roman" w:cs="Times New Roman"/>
            <w:noProof/>
            <w:webHidden/>
            <w:sz w:val="24"/>
            <w:szCs w:val="24"/>
          </w:rPr>
          <w:fldChar w:fldCharType="end"/>
        </w:r>
      </w:hyperlink>
    </w:p>
    <w:p w:rsidR="00135326" w:rsidRPr="004161B0" w:rsidRDefault="0059340B">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0" w:history="1">
        <w:r w:rsidR="00135326" w:rsidRPr="004161B0">
          <w:rPr>
            <w:rStyle w:val="Hyperlink"/>
            <w:rFonts w:ascii="Times New Roman" w:hAnsi="Times New Roman" w:cs="Times New Roman"/>
            <w:noProof/>
            <w:sz w:val="24"/>
            <w:szCs w:val="24"/>
          </w:rPr>
          <w:t>4. РОЛІ, ПОВНОВАЖЕННЯ ТА ВІДПОВІДАЛЬНІСТЬ</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_Toc216290570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13</w:t>
        </w:r>
        <w:r w:rsidR="00135326" w:rsidRPr="004161B0">
          <w:rPr>
            <w:rFonts w:ascii="Times New Roman" w:hAnsi="Times New Roman" w:cs="Times New Roman"/>
            <w:noProof/>
            <w:webHidden/>
            <w:sz w:val="24"/>
            <w:szCs w:val="24"/>
          </w:rPr>
          <w:fldChar w:fldCharType="end"/>
        </w:r>
      </w:hyperlink>
    </w:p>
    <w:p w:rsidR="00135326" w:rsidRPr="004161B0" w:rsidRDefault="0059340B">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1" w:history="1">
        <w:r w:rsidR="00135326" w:rsidRPr="004161B0">
          <w:rPr>
            <w:rStyle w:val="Hyperlink"/>
            <w:rFonts w:ascii="Times New Roman" w:hAnsi="Times New Roman" w:cs="Times New Roman"/>
            <w:noProof/>
            <w:sz w:val="24"/>
            <w:szCs w:val="24"/>
          </w:rPr>
          <w:t>5. СИСТЕМА ВНУТРІШНЬОГО КОНТРОЛЮ</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_Toc216290571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14</w:t>
        </w:r>
        <w:r w:rsidR="00135326" w:rsidRPr="004161B0">
          <w:rPr>
            <w:rFonts w:ascii="Times New Roman" w:hAnsi="Times New Roman" w:cs="Times New Roman"/>
            <w:noProof/>
            <w:webHidden/>
            <w:sz w:val="24"/>
            <w:szCs w:val="24"/>
          </w:rPr>
          <w:fldChar w:fldCharType="end"/>
        </w:r>
      </w:hyperlink>
    </w:p>
    <w:p w:rsidR="00135326" w:rsidRPr="004161B0" w:rsidRDefault="0059340B">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2" w:history="1">
        <w:r w:rsidR="00135326" w:rsidRPr="004161B0">
          <w:rPr>
            <w:rStyle w:val="Hyperlink"/>
            <w:rFonts w:ascii="Times New Roman" w:hAnsi="Times New Roman" w:cs="Times New Roman"/>
            <w:noProof/>
            <w:sz w:val="24"/>
            <w:szCs w:val="24"/>
          </w:rPr>
          <w:t>6. ПРИКІНЦЕВІ ПОЛОЖЕННЯ</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_Toc216290572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15</w:t>
        </w:r>
        <w:r w:rsidR="00135326" w:rsidRPr="004161B0">
          <w:rPr>
            <w:rFonts w:ascii="Times New Roman" w:hAnsi="Times New Roman" w:cs="Times New Roman"/>
            <w:noProof/>
            <w:webHidden/>
            <w:sz w:val="24"/>
            <w:szCs w:val="24"/>
          </w:rPr>
          <w:fldChar w:fldCharType="end"/>
        </w:r>
      </w:hyperlink>
    </w:p>
    <w:p w:rsidR="00135326" w:rsidRPr="004161B0" w:rsidRDefault="0059340B">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3" w:history="1">
        <w:r w:rsidR="00135326" w:rsidRPr="004161B0">
          <w:rPr>
            <w:rStyle w:val="Hyperlink"/>
            <w:rFonts w:ascii="Times New Roman" w:hAnsi="Times New Roman" w:cs="Times New Roman"/>
            <w:noProof/>
            <w:sz w:val="24"/>
            <w:szCs w:val="24"/>
          </w:rPr>
          <w:t>7. ПЕРЕЛІК ВЗАЄМОПОВ`ЯЗАНИХ ДОКУМЕНТІВ</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_Toc216290573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15</w:t>
        </w:r>
        <w:r w:rsidR="00135326" w:rsidRPr="004161B0">
          <w:rPr>
            <w:rFonts w:ascii="Times New Roman" w:hAnsi="Times New Roman" w:cs="Times New Roman"/>
            <w:noProof/>
            <w:webHidden/>
            <w:sz w:val="24"/>
            <w:szCs w:val="24"/>
          </w:rPr>
          <w:fldChar w:fldCharType="end"/>
        </w:r>
      </w:hyperlink>
    </w:p>
    <w:p w:rsidR="00135326" w:rsidRPr="004161B0" w:rsidRDefault="0059340B">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4" w:history="1">
        <w:r w:rsidR="00135326" w:rsidRPr="004161B0">
          <w:rPr>
            <w:rStyle w:val="Hyperlink"/>
            <w:rFonts w:ascii="Times New Roman" w:hAnsi="Times New Roman" w:cs="Times New Roman"/>
            <w:noProof/>
            <w:sz w:val="24"/>
            <w:szCs w:val="24"/>
          </w:rPr>
          <w:t>8. ІСТОРІЯ ЗМІН</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_Toc216290574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15</w:t>
        </w:r>
        <w:r w:rsidR="00135326" w:rsidRPr="004161B0">
          <w:rPr>
            <w:rFonts w:ascii="Times New Roman" w:hAnsi="Times New Roman" w:cs="Times New Roman"/>
            <w:noProof/>
            <w:webHidden/>
            <w:sz w:val="24"/>
            <w:szCs w:val="24"/>
          </w:rPr>
          <w:fldChar w:fldCharType="end"/>
        </w:r>
      </w:hyperlink>
    </w:p>
    <w:p w:rsidR="00135326" w:rsidRPr="004161B0" w:rsidRDefault="0059340B">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5" w:history="1">
        <w:r w:rsidR="00135326" w:rsidRPr="004161B0">
          <w:rPr>
            <w:rStyle w:val="Hyperlink"/>
            <w:rFonts w:ascii="Times New Roman" w:hAnsi="Times New Roman" w:cs="Times New Roman"/>
            <w:noProof/>
            <w:sz w:val="24"/>
            <w:szCs w:val="24"/>
            <w:lang w:val="en-GB"/>
          </w:rPr>
          <w:t xml:space="preserve">9. </w:t>
        </w:r>
        <w:r w:rsidR="00135326" w:rsidRPr="004161B0">
          <w:rPr>
            <w:rStyle w:val="Hyperlink"/>
            <w:rFonts w:ascii="Times New Roman" w:hAnsi="Times New Roman" w:cs="Times New Roman"/>
            <w:noProof/>
            <w:sz w:val="24"/>
            <w:szCs w:val="24"/>
          </w:rPr>
          <w:t>МЕТА-ДАНІ</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_Toc216290575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15</w:t>
        </w:r>
        <w:r w:rsidR="00135326" w:rsidRPr="004161B0">
          <w:rPr>
            <w:rFonts w:ascii="Times New Roman" w:hAnsi="Times New Roman" w:cs="Times New Roman"/>
            <w:noProof/>
            <w:webHidden/>
            <w:sz w:val="24"/>
            <w:szCs w:val="24"/>
          </w:rPr>
          <w:fldChar w:fldCharType="end"/>
        </w:r>
      </w:hyperlink>
    </w:p>
    <w:p w:rsidR="00135326" w:rsidRPr="004161B0" w:rsidRDefault="0059340B">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6" w:history="1">
        <w:r w:rsidR="00135326" w:rsidRPr="004161B0">
          <w:rPr>
            <w:rStyle w:val="Hyperlink"/>
            <w:rFonts w:ascii="Times New Roman" w:eastAsia="Calibri" w:hAnsi="Times New Roman" w:cs="Times New Roman"/>
            <w:noProof/>
            <w:sz w:val="24"/>
            <w:szCs w:val="24"/>
          </w:rPr>
          <w:t>ДОДАТКИ</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_Toc216290576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16</w:t>
        </w:r>
        <w:r w:rsidR="00135326" w:rsidRPr="004161B0">
          <w:rPr>
            <w:rFonts w:ascii="Times New Roman" w:hAnsi="Times New Roman" w:cs="Times New Roman"/>
            <w:noProof/>
            <w:webHidden/>
            <w:sz w:val="24"/>
            <w:szCs w:val="24"/>
          </w:rPr>
          <w:fldChar w:fldCharType="end"/>
        </w:r>
      </w:hyperlink>
    </w:p>
    <w:p w:rsidR="00506B88" w:rsidRDefault="008F66B5" w:rsidP="005E4A71">
      <w:pPr>
        <w:pStyle w:val="TOC1"/>
        <w:tabs>
          <w:tab w:val="right" w:leader="dot" w:pos="9345"/>
        </w:tabs>
        <w:rPr>
          <w:bCs/>
          <w:szCs w:val="20"/>
        </w:rPr>
      </w:pPr>
      <w:r w:rsidRPr="004161B0">
        <w:rPr>
          <w:rFonts w:ascii="Times New Roman" w:hAnsi="Times New Roman" w:cs="Times New Roman"/>
          <w:bCs/>
          <w:sz w:val="24"/>
          <w:szCs w:val="24"/>
        </w:rPr>
        <w:fldChar w:fldCharType="end"/>
      </w: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sz w:val="20"/>
          <w:szCs w:val="20"/>
        </w:rPr>
      </w:pPr>
    </w:p>
    <w:p w:rsidR="00506B88" w:rsidRDefault="00506B88">
      <w:pPr>
        <w:spacing w:after="0" w:line="240" w:lineRule="auto"/>
        <w:ind w:firstLine="567"/>
        <w:jc w:val="both"/>
        <w:rPr>
          <w:b/>
          <w:sz w:val="20"/>
          <w:szCs w:val="20"/>
        </w:rPr>
      </w:pPr>
    </w:p>
    <w:p w:rsidR="00506B88" w:rsidRDefault="00506B88">
      <w:pPr>
        <w:spacing w:after="0" w:line="240" w:lineRule="auto"/>
        <w:ind w:firstLine="567"/>
        <w:jc w:val="both"/>
        <w:rPr>
          <w:b/>
          <w:sz w:val="20"/>
          <w:szCs w:val="20"/>
        </w:rPr>
      </w:pPr>
    </w:p>
    <w:p w:rsidR="00135326" w:rsidRDefault="00135326">
      <w:pPr>
        <w:spacing w:after="0" w:line="240" w:lineRule="auto"/>
        <w:ind w:firstLine="567"/>
        <w:jc w:val="both"/>
        <w:rPr>
          <w:b/>
          <w:sz w:val="20"/>
          <w:szCs w:val="20"/>
        </w:rPr>
      </w:pPr>
    </w:p>
    <w:p w:rsidR="00506B88" w:rsidRDefault="00506B88" w:rsidP="00E21EDF">
      <w:pPr>
        <w:spacing w:after="0" w:line="240" w:lineRule="auto"/>
        <w:jc w:val="both"/>
        <w:rPr>
          <w:b/>
          <w:sz w:val="20"/>
          <w:szCs w:val="20"/>
        </w:rPr>
      </w:pPr>
    </w:p>
    <w:p w:rsidR="00506B88" w:rsidRDefault="008F66B5">
      <w:pPr>
        <w:pStyle w:val="Heading1"/>
        <w:ind w:left="567"/>
        <w:rPr>
          <w:rFonts w:ascii="Times New Roman" w:hAnsi="Times New Roman"/>
          <w:b/>
          <w:color w:val="002060"/>
        </w:rPr>
      </w:pPr>
      <w:bookmarkStart w:id="0" w:name="_Toc216290567"/>
      <w:r>
        <w:rPr>
          <w:rFonts w:ascii="Times New Roman" w:hAnsi="Times New Roman"/>
          <w:b/>
          <w:color w:val="002060"/>
        </w:rPr>
        <w:lastRenderedPageBreak/>
        <w:t>1. ЗАГАЛЬНІ ПОЛОЖЕННЯ</w:t>
      </w:r>
      <w:bookmarkEnd w:id="0"/>
      <w:r>
        <w:rPr>
          <w:rFonts w:ascii="Times New Roman" w:hAnsi="Times New Roman"/>
          <w:b/>
          <w:color w:val="002060"/>
        </w:rPr>
        <w:t xml:space="preserve"> </w:t>
      </w:r>
    </w:p>
    <w:p w:rsidR="00506B88" w:rsidRDefault="008F66B5">
      <w:pPr>
        <w:pStyle w:val="ListParagraph"/>
        <w:spacing w:after="0" w:line="240" w:lineRule="auto"/>
        <w:ind w:left="0"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1.1.</w:t>
      </w:r>
      <w:r>
        <w:rPr>
          <w:rFonts w:ascii="Times New Roman" w:eastAsia="Times New Roman" w:hAnsi="Times New Roman" w:cs="Times New Roman"/>
          <w:bCs/>
          <w:i/>
          <w:color w:val="002060"/>
          <w:sz w:val="24"/>
          <w:szCs w:val="24"/>
          <w:lang w:eastAsia="el-GR"/>
        </w:rPr>
        <w:t xml:space="preserve"> </w:t>
      </w:r>
      <w:r>
        <w:rPr>
          <w:rFonts w:ascii="Times New Roman" w:eastAsia="Times New Roman" w:hAnsi="Times New Roman" w:cs="Times New Roman"/>
          <w:bCs/>
          <w:color w:val="002060"/>
          <w:sz w:val="24"/>
          <w:szCs w:val="24"/>
          <w:lang w:eastAsia="el-GR"/>
        </w:rPr>
        <w:t>Політика управління екологічними, соціальними та управлінськими ризиками (ESG-ризиками) в АТ «ПІРЕУС БАНК МКБ» (далі – Політика) визначає загальні принципи, підходи та вимоги до управління ризиками, пов’язаними з впливом на навколишнє середовище, соціальні наслідки та питання корпоративного управління в процесі здійснення банківської діяльності.</w:t>
      </w:r>
    </w:p>
    <w:p w:rsidR="00506B88" w:rsidRDefault="008F66B5">
      <w:pPr>
        <w:pStyle w:val="ListParagraph"/>
        <w:spacing w:after="0" w:line="240" w:lineRule="auto"/>
        <w:ind w:left="0"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Політика встановлює єдиний підхід до ідентифікації, оцінки, моніторингу, контролю та зменшення ESG-ризиків у діяльності Банку. Вона базується на визнанні того, що належне управління ESG-ризиками є необхідною умовою забезпечення довгострокової фінансової стійкості, репутаційної цілісності та відповідального ставлення до зацікавлених сторін.</w:t>
      </w:r>
    </w:p>
    <w:p w:rsidR="00506B88" w:rsidRDefault="008F66B5">
      <w:pPr>
        <w:pStyle w:val="ListParagraph"/>
        <w:spacing w:after="0" w:line="240" w:lineRule="auto"/>
        <w:ind w:left="0" w:firstLine="567"/>
        <w:jc w:val="both"/>
        <w:rPr>
          <w:rFonts w:ascii="Times New Roman" w:eastAsia="Times New Roman" w:hAnsi="Times New Roman" w:cs="Times New Roman"/>
          <w:bCs/>
          <w:i/>
          <w:color w:val="002060"/>
          <w:sz w:val="24"/>
          <w:szCs w:val="24"/>
          <w:lang w:eastAsia="el-GR"/>
        </w:rPr>
      </w:pPr>
      <w:r>
        <w:rPr>
          <w:rFonts w:ascii="Times New Roman" w:eastAsia="Times New Roman" w:hAnsi="Times New Roman" w:cs="Times New Roman"/>
          <w:bCs/>
          <w:color w:val="002060"/>
          <w:sz w:val="24"/>
          <w:szCs w:val="24"/>
          <w:lang w:eastAsia="el-GR"/>
        </w:rPr>
        <w:t>Політика також регламентує застосування внутрішніх процедур з вбудовування ESG-факторів в процес кредитування, інвестиційних рішень, корпоративного управління та операційної діяльності Банку, враховуючи сучасні міжнародні підходи до сталого розвитку та вимоги регуляторних органів.</w:t>
      </w:r>
    </w:p>
    <w:p w:rsidR="00506B88" w:rsidRDefault="008F66B5">
      <w:pPr>
        <w:tabs>
          <w:tab w:val="left" w:pos="142"/>
          <w:tab w:val="left" w:pos="851"/>
        </w:tabs>
        <w:spacing w:after="0"/>
        <w:ind w:firstLine="567"/>
        <w:jc w:val="both"/>
        <w:rPr>
          <w:rFonts w:ascii="Times New Roman" w:hAnsi="Times New Roman" w:cs="Times New Roman"/>
          <w:color w:val="002060"/>
          <w:sz w:val="24"/>
          <w:szCs w:val="24"/>
        </w:rPr>
      </w:pPr>
      <w:r>
        <w:rPr>
          <w:rFonts w:ascii="Times New Roman" w:eastAsia="Times New Roman" w:hAnsi="Times New Roman" w:cs="Times New Roman"/>
          <w:bCs/>
          <w:color w:val="002060"/>
          <w:sz w:val="24"/>
          <w:szCs w:val="24"/>
          <w:lang w:val="ru-RU" w:eastAsia="el-GR"/>
        </w:rPr>
        <w:t>1.2.</w:t>
      </w:r>
      <w:r>
        <w:rPr>
          <w:rFonts w:ascii="Times New Roman" w:eastAsia="Times New Roman" w:hAnsi="Times New Roman" w:cs="Times New Roman"/>
          <w:bCs/>
          <w:i/>
          <w:color w:val="002060"/>
          <w:sz w:val="24"/>
          <w:szCs w:val="24"/>
          <w:lang w:val="ru-RU" w:eastAsia="el-GR"/>
        </w:rPr>
        <w:t xml:space="preserve"> </w:t>
      </w:r>
      <w:r>
        <w:rPr>
          <w:rFonts w:ascii="Times New Roman" w:hAnsi="Times New Roman" w:cs="Times New Roman"/>
          <w:color w:val="002060"/>
          <w:sz w:val="24"/>
          <w:szCs w:val="24"/>
        </w:rPr>
        <w:t>Політика є внутрішнім нормативно-регулятивним документом Банку, який розроблений відповідно до:</w:t>
      </w:r>
    </w:p>
    <w:p w:rsidR="00506B88"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Pr>
          <w:rFonts w:ascii="Times New Roman" w:hAnsi="Times New Roman" w:cs="Times New Roman"/>
          <w:color w:val="002060"/>
          <w:sz w:val="24"/>
          <w:szCs w:val="24"/>
        </w:rPr>
        <w:t>Закону України «Про банки і банківську діяльність»</w:t>
      </w:r>
      <w:r>
        <w:rPr>
          <w:rFonts w:ascii="Times New Roman" w:hAnsi="Times New Roman"/>
          <w:color w:val="002060"/>
          <w:sz w:val="24"/>
          <w:szCs w:val="24"/>
        </w:rPr>
        <w:t xml:space="preserve"> № 2121-ІІІ</w:t>
      </w:r>
      <w:r>
        <w:rPr>
          <w:rFonts w:ascii="Times New Roman" w:hAnsi="Times New Roman" w:cs="Times New Roman"/>
          <w:color w:val="002060"/>
          <w:sz w:val="24"/>
          <w:szCs w:val="24"/>
        </w:rPr>
        <w:t xml:space="preserve"> </w:t>
      </w:r>
      <w:r>
        <w:rPr>
          <w:rFonts w:ascii="Times New Roman" w:hAnsi="Times New Roman"/>
          <w:color w:val="002060"/>
          <w:sz w:val="24"/>
          <w:szCs w:val="24"/>
        </w:rPr>
        <w:t>від 07.12.2000 із змінами і доповненнями</w:t>
      </w:r>
      <w:r>
        <w:rPr>
          <w:rFonts w:ascii="Times New Roman" w:hAnsi="Times New Roman" w:cs="Times New Roman"/>
          <w:color w:val="002060"/>
          <w:sz w:val="24"/>
          <w:szCs w:val="24"/>
        </w:rPr>
        <w:t>;</w:t>
      </w:r>
    </w:p>
    <w:p w:rsidR="00506B88"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Закону України «Про охорону навколишнього природного середовища» </w:t>
      </w:r>
      <w:r>
        <w:rPr>
          <w:rFonts w:ascii="Times New Roman" w:hAnsi="Times New Roman"/>
          <w:color w:val="002060"/>
          <w:sz w:val="24"/>
          <w:szCs w:val="24"/>
        </w:rPr>
        <w:t>№ 1264-12 від 25.06.1991 із змінами і доповненнями;</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Закону України «Про оцінку впливу на довкілля» № 2059-VIII від 23.05.2017 із </w:t>
      </w:r>
      <w:r w:rsidRPr="00135326">
        <w:rPr>
          <w:rFonts w:ascii="Times New Roman" w:hAnsi="Times New Roman" w:cs="Times New Roman"/>
          <w:color w:val="002060"/>
          <w:sz w:val="24"/>
          <w:szCs w:val="24"/>
        </w:rPr>
        <w:t xml:space="preserve">змінами і доповненнями; </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Закону України «Про державні соціальні стандарти та державні соціальні гарантії» № 2017-III  від 05.10.2000 із змінами і доповненнями;</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Кодексу законів про працю України № 322-VIII від 10.12.1971;</w:t>
      </w:r>
    </w:p>
    <w:p w:rsidR="00506B88" w:rsidRPr="00135326" w:rsidRDefault="008F66B5" w:rsidP="005E4A71">
      <w:pPr>
        <w:pStyle w:val="ListParagraph"/>
        <w:numPr>
          <w:ilvl w:val="1"/>
          <w:numId w:val="28"/>
        </w:numPr>
        <w:tabs>
          <w:tab w:val="left" w:pos="142"/>
          <w:tab w:val="left" w:pos="851"/>
        </w:tabs>
        <w:spacing w:after="0"/>
        <w:jc w:val="both"/>
        <w:rPr>
          <w:rFonts w:ascii="Times New Roman" w:eastAsia="Times New Roman" w:hAnsi="Times New Roman" w:cs="Times New Roman"/>
          <w:color w:val="002060"/>
          <w:sz w:val="24"/>
          <w:szCs w:val="24"/>
          <w:lang w:eastAsia="el-GR"/>
        </w:rPr>
      </w:pPr>
      <w:r w:rsidRPr="00135326">
        <w:rPr>
          <w:rFonts w:ascii="Times New Roman" w:eastAsia="Times New Roman" w:hAnsi="Times New Roman" w:cs="Times New Roman"/>
          <w:bCs/>
          <w:color w:val="002060"/>
          <w:sz w:val="24"/>
          <w:szCs w:val="24"/>
          <w:lang w:eastAsia="el-GR"/>
        </w:rPr>
        <w:t xml:space="preserve">Environmental &amp; Social Management System </w:t>
      </w:r>
      <w:r w:rsidRPr="00135326">
        <w:rPr>
          <w:rFonts w:ascii="Times New Roman" w:eastAsia="Times New Roman" w:hAnsi="Times New Roman" w:cs="Times New Roman"/>
          <w:color w:val="002060"/>
          <w:sz w:val="24"/>
          <w:szCs w:val="24"/>
          <w:lang w:eastAsia="el-GR"/>
        </w:rPr>
        <w:t>Piraeus Bank Group</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eastAsia="Times New Roman" w:hAnsi="Times New Roman" w:cs="Times New Roman"/>
          <w:color w:val="002060"/>
          <w:sz w:val="24"/>
          <w:szCs w:val="24"/>
          <w:lang w:eastAsia="el-GR"/>
        </w:rPr>
        <w:t xml:space="preserve">Стратегії управління ризиками та капіталом </w:t>
      </w:r>
      <w:r w:rsidRPr="00135326">
        <w:rPr>
          <w:rFonts w:ascii="Times New Roman" w:eastAsia="Times New Roman" w:hAnsi="Times New Roman" w:cs="Times New Roman"/>
          <w:color w:val="002060"/>
          <w:sz w:val="24"/>
          <w:lang w:eastAsia="el-GR"/>
        </w:rPr>
        <w:t>АТ «ПІРЕУС БАНК МКБ»</w:t>
      </w:r>
      <w:r w:rsidRPr="00135326">
        <w:rPr>
          <w:rFonts w:ascii="Times New Roman" w:eastAsia="Times New Roman" w:hAnsi="Times New Roman" w:cs="Times New Roman"/>
          <w:color w:val="002060"/>
          <w:sz w:val="24"/>
          <w:szCs w:val="24"/>
          <w:lang w:eastAsia="el-GR"/>
        </w:rPr>
        <w:t>;</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 xml:space="preserve">Кредитної політики для клієнтів МСБ та Корпоративного бізнесу </w:t>
      </w:r>
      <w:r w:rsidR="00E4590B" w:rsidRPr="00135326">
        <w:rPr>
          <w:rFonts w:ascii="Times New Roman" w:eastAsia="Times New Roman" w:hAnsi="Times New Roman" w:cs="Times New Roman"/>
          <w:color w:val="002060"/>
          <w:sz w:val="24"/>
          <w:lang w:eastAsia="el-GR"/>
        </w:rPr>
        <w:t xml:space="preserve">АТ «ПІРЕУС БАНК МКБ» </w:t>
      </w:r>
      <w:r w:rsidRPr="00135326">
        <w:rPr>
          <w:rFonts w:ascii="Times New Roman" w:hAnsi="Times New Roman" w:cs="Times New Roman"/>
          <w:color w:val="002060"/>
          <w:sz w:val="24"/>
          <w:szCs w:val="24"/>
        </w:rPr>
        <w:t>на відповідний рік;</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IFC Performance Standards;</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 xml:space="preserve">EBRD Environmental and Social Policy; </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Принципів Екватора;</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SDGs</w:t>
      </w:r>
      <w:r w:rsidRPr="00135326">
        <w:rPr>
          <w:rFonts w:ascii="Times New Roman" w:eastAsia="Times New Roman" w:hAnsi="Times New Roman" w:cs="Times New Roman"/>
          <w:bCs/>
          <w:color w:val="002060"/>
          <w:sz w:val="24"/>
          <w:szCs w:val="24"/>
          <w:lang w:eastAsia="el-GR"/>
        </w:rPr>
        <w:t xml:space="preserve">. </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1.3.</w:t>
      </w:r>
      <w:r>
        <w:rPr>
          <w:rFonts w:ascii="Times New Roman" w:eastAsia="Times New Roman" w:hAnsi="Times New Roman" w:cs="Times New Roman"/>
          <w:bCs/>
          <w:i/>
          <w:color w:val="002060"/>
          <w:sz w:val="24"/>
          <w:szCs w:val="24"/>
          <w:lang w:eastAsia="el-GR"/>
        </w:rPr>
        <w:t xml:space="preserve">  </w:t>
      </w:r>
      <w:r>
        <w:rPr>
          <w:rFonts w:ascii="Times New Roman" w:eastAsia="Times New Roman" w:hAnsi="Times New Roman" w:cs="Times New Roman"/>
          <w:bCs/>
          <w:color w:val="002060"/>
          <w:sz w:val="24"/>
          <w:szCs w:val="24"/>
          <w:lang w:eastAsia="el-GR"/>
        </w:rPr>
        <w:t>Метою Політики є створення ефективної та цілісної системи управління ESG-ризиками, яка:</w:t>
      </w:r>
    </w:p>
    <w:p w:rsidR="00506B88" w:rsidRDefault="008F66B5">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інтегрує ESG-фактори в усі бізнес-процеси Банку;</w:t>
      </w:r>
    </w:p>
    <w:p w:rsidR="00506B88" w:rsidRDefault="008F66B5">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забезпечує відповідність національному законодавству та міжнародним стандартам;</w:t>
      </w:r>
    </w:p>
    <w:p w:rsidR="00506B88" w:rsidRDefault="008F66B5">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мінімізує потенційний негативний вплив діяльності Банку та його клієнтів на довкілля, суспільство та управлінську етику;</w:t>
      </w:r>
    </w:p>
    <w:p w:rsidR="00506B88" w:rsidRDefault="008F66B5">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сприяє підтримці позитивної ділової репутації Банку;</w:t>
      </w:r>
    </w:p>
    <w:p w:rsidR="00506B88" w:rsidRDefault="008F66B5">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підвищує рівень прозорості, сталого фінансування та соціальної відповідальності. </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1.4.</w:t>
      </w:r>
      <w:r>
        <w:rPr>
          <w:rFonts w:ascii="Times New Roman" w:eastAsia="Times New Roman" w:hAnsi="Times New Roman" w:cs="Times New Roman"/>
          <w:bCs/>
          <w:i/>
          <w:color w:val="002060"/>
          <w:sz w:val="24"/>
          <w:szCs w:val="24"/>
          <w:lang w:eastAsia="el-GR"/>
        </w:rPr>
        <w:t xml:space="preserve"> </w:t>
      </w:r>
      <w:r>
        <w:rPr>
          <w:rFonts w:ascii="Times New Roman" w:eastAsia="Times New Roman" w:hAnsi="Times New Roman" w:cs="Times New Roman"/>
          <w:bCs/>
          <w:color w:val="002060"/>
          <w:sz w:val="24"/>
          <w:szCs w:val="24"/>
          <w:lang w:eastAsia="el-GR"/>
        </w:rPr>
        <w:t>Сфера застосування Політики охоплює:</w:t>
      </w:r>
    </w:p>
    <w:p w:rsidR="00506B88" w:rsidRDefault="008F66B5">
      <w:pPr>
        <w:pStyle w:val="ListParagraph"/>
        <w:numPr>
          <w:ilvl w:val="0"/>
          <w:numId w:val="12"/>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усі структурні підрозділи АТ «ПІРЕУС БАНК МКБ»;</w:t>
      </w:r>
    </w:p>
    <w:p w:rsidR="00506B88" w:rsidRDefault="008F66B5">
      <w:pPr>
        <w:pStyle w:val="ListParagraph"/>
        <w:numPr>
          <w:ilvl w:val="0"/>
          <w:numId w:val="12"/>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діяльність Банку у сфері надання банківських послуг, в тому числі фінансування корпоративних клієнтів, МСБ;</w:t>
      </w:r>
    </w:p>
    <w:p w:rsidR="00506B88" w:rsidRDefault="008F66B5">
      <w:pPr>
        <w:pStyle w:val="ListParagraph"/>
        <w:numPr>
          <w:ilvl w:val="0"/>
          <w:numId w:val="12"/>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процеси ідентифікації, оцінки, ухвалення рішень, укладення договорів, моніторингу та звітування щодо ESG-ризиків;</w:t>
      </w:r>
    </w:p>
    <w:p w:rsidR="00506B88" w:rsidRDefault="008F66B5">
      <w:pPr>
        <w:pStyle w:val="ListParagraph"/>
        <w:numPr>
          <w:ilvl w:val="0"/>
          <w:numId w:val="12"/>
        </w:numPr>
        <w:spacing w:after="0" w:line="240" w:lineRule="auto"/>
        <w:ind w:left="993"/>
        <w:jc w:val="both"/>
        <w:rPr>
          <w:rFonts w:ascii="Times New Roman" w:eastAsia="Times New Roman" w:hAnsi="Times New Roman" w:cs="Times New Roman"/>
          <w:bCs/>
          <w:i/>
          <w:color w:val="002060"/>
          <w:sz w:val="24"/>
          <w:szCs w:val="24"/>
          <w:lang w:eastAsia="el-GR"/>
        </w:rPr>
      </w:pPr>
      <w:r>
        <w:rPr>
          <w:rFonts w:ascii="Times New Roman" w:eastAsia="Times New Roman" w:hAnsi="Times New Roman" w:cs="Times New Roman"/>
          <w:bCs/>
          <w:color w:val="002060"/>
          <w:sz w:val="24"/>
          <w:szCs w:val="24"/>
          <w:lang w:eastAsia="el-GR"/>
        </w:rPr>
        <w:lastRenderedPageBreak/>
        <w:t>взаємодію з клієнтами, партнерами, державними установами та іншими зацікавленими сторонами</w:t>
      </w:r>
      <w:r>
        <w:rPr>
          <w:rFonts w:ascii="Times New Roman" w:eastAsia="Times New Roman" w:hAnsi="Times New Roman" w:cs="Times New Roman"/>
          <w:bCs/>
          <w:i/>
          <w:color w:val="002060"/>
          <w:sz w:val="24"/>
          <w:szCs w:val="24"/>
          <w:lang w:eastAsia="el-GR"/>
        </w:rPr>
        <w:t xml:space="preserve">. </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1.5.</w:t>
      </w:r>
      <w:r>
        <w:rPr>
          <w:rFonts w:ascii="Times New Roman" w:eastAsia="Times New Roman" w:hAnsi="Times New Roman" w:cs="Times New Roman"/>
          <w:bCs/>
          <w:i/>
          <w:color w:val="002060"/>
          <w:sz w:val="24"/>
          <w:szCs w:val="24"/>
          <w:lang w:eastAsia="el-GR"/>
        </w:rPr>
        <w:t xml:space="preserve"> </w:t>
      </w:r>
      <w:r>
        <w:rPr>
          <w:rFonts w:ascii="Times New Roman" w:eastAsia="Times New Roman" w:hAnsi="Times New Roman" w:cs="Times New Roman"/>
          <w:bCs/>
          <w:color w:val="002060"/>
          <w:sz w:val="24"/>
          <w:szCs w:val="24"/>
          <w:lang w:eastAsia="el-GR"/>
        </w:rPr>
        <w:t>Політика розроблена з урахуванням принципу пропорційності – рівень глибини оцінки ESG-ризиків залежить від розміру, складності, терміну, галузі та потенційного впливу проєкту/клієнта.</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Всі працівники Банку зобов’язані дотримуватись положень цього документу в межах своїх посадових обов’язків.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Визначення ролей, повноважень та відповідальності за реалізацію Політики викладено у відповідному розділі цього документа.</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Всі оновлення Політики повинні погоджуватись відповідно до внутрішніх процедур, погоджуватись Правлінням Банку, затверджуватись Наглядовою Радою Банку</w:t>
      </w:r>
      <w:r>
        <w:rPr>
          <w:rFonts w:ascii="Times New Roman" w:hAnsi="Times New Roman" w:cs="Times New Roman"/>
          <w:color w:val="002060"/>
          <w:sz w:val="24"/>
          <w:szCs w:val="24"/>
        </w:rPr>
        <w:t>.</w:t>
      </w:r>
    </w:p>
    <w:p w:rsidR="00506B88" w:rsidRDefault="00506B88">
      <w:pPr>
        <w:pStyle w:val="ListParagraph"/>
        <w:spacing w:after="0" w:line="240" w:lineRule="auto"/>
        <w:jc w:val="both"/>
        <w:rPr>
          <w:rFonts w:ascii="Times New Roman" w:hAnsi="Times New Roman" w:cs="Times New Roman"/>
          <w:color w:val="002060"/>
          <w:sz w:val="24"/>
          <w:szCs w:val="24"/>
        </w:rPr>
      </w:pPr>
    </w:p>
    <w:p w:rsidR="00506B88" w:rsidRDefault="008F66B5">
      <w:pPr>
        <w:pStyle w:val="Heading1"/>
        <w:ind w:left="567"/>
        <w:rPr>
          <w:rFonts w:ascii="Times New Roman" w:hAnsi="Times New Roman"/>
          <w:b/>
        </w:rPr>
      </w:pPr>
      <w:bookmarkStart w:id="1" w:name="_Toc216290568"/>
      <w:r>
        <w:rPr>
          <w:rFonts w:ascii="Times New Roman" w:hAnsi="Times New Roman"/>
          <w:b/>
          <w:color w:val="002060"/>
        </w:rPr>
        <w:t>2. ТЕРМІНИ ТА СКОРОЧЕННЯ</w:t>
      </w:r>
      <w:bookmarkEnd w:id="1"/>
      <w:r>
        <w:rPr>
          <w:rFonts w:ascii="Times New Roman" w:hAnsi="Times New Roman"/>
          <w:b/>
        </w:rPr>
        <w:t xml:space="preserve"> </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У цій  Політиці терміни та скорочення вживаються  у наступному значенні: </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Банк</w:t>
      </w:r>
      <w:r>
        <w:rPr>
          <w:rFonts w:ascii="Times New Roman" w:eastAsia="Times New Roman" w:hAnsi="Times New Roman" w:cs="Times New Roman"/>
          <w:bCs/>
          <w:color w:val="002060"/>
          <w:sz w:val="24"/>
          <w:szCs w:val="24"/>
          <w:lang w:eastAsia="el-GR"/>
        </w:rPr>
        <w:t xml:space="preserve"> – АКЦІОНЕРНЕ ТОВАРИСТВО «ПІРЕУС БАНК МКБ».</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Група</w:t>
      </w:r>
      <w:r>
        <w:rPr>
          <w:rFonts w:ascii="Times New Roman" w:eastAsia="Times New Roman" w:hAnsi="Times New Roman" w:cs="Times New Roman"/>
          <w:bCs/>
          <w:color w:val="002060"/>
          <w:sz w:val="24"/>
          <w:szCs w:val="24"/>
          <w:lang w:eastAsia="el-GR"/>
        </w:rPr>
        <w:t xml:space="preserve"> - </w:t>
      </w:r>
      <w:r>
        <w:rPr>
          <w:rFonts w:ascii="Times New Roman" w:eastAsia="Times New Roman" w:hAnsi="Times New Roman" w:cs="Times New Roman"/>
          <w:bCs/>
          <w:color w:val="002060"/>
          <w:sz w:val="24"/>
          <w:szCs w:val="24"/>
          <w:lang w:val="en-US" w:eastAsia="el-GR"/>
        </w:rPr>
        <w:t>Piraeus Bank S.A</w:t>
      </w:r>
      <w:r>
        <w:rPr>
          <w:rFonts w:ascii="Times New Roman" w:eastAsia="Times New Roman" w:hAnsi="Times New Roman" w:cs="Times New Roman"/>
          <w:bCs/>
          <w:color w:val="002060"/>
          <w:sz w:val="24"/>
          <w:szCs w:val="24"/>
          <w:lang w:eastAsia="el-GR"/>
        </w:rPr>
        <w:t>.</w:t>
      </w:r>
    </w:p>
    <w:p w:rsidR="00506B88" w:rsidRDefault="008F66B5">
      <w:pPr>
        <w:spacing w:after="0" w:line="240" w:lineRule="auto"/>
        <w:ind w:firstLine="567"/>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 xml:space="preserve">ЄБРР – </w:t>
      </w:r>
      <w:r>
        <w:rPr>
          <w:rFonts w:ascii="Times New Roman" w:eastAsia="Times New Roman" w:hAnsi="Times New Roman" w:cs="Times New Roman"/>
          <w:bCs/>
          <w:color w:val="002060"/>
          <w:sz w:val="24"/>
          <w:szCs w:val="24"/>
          <w:lang w:eastAsia="el-GR"/>
        </w:rPr>
        <w:t>Європейський Банк Реконструкції та Розвитку.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ЄС</w:t>
      </w:r>
      <w:r>
        <w:rPr>
          <w:rFonts w:ascii="Times New Roman" w:eastAsia="Times New Roman" w:hAnsi="Times New Roman" w:cs="Times New Roman"/>
          <w:bCs/>
          <w:color w:val="002060"/>
          <w:sz w:val="24"/>
          <w:szCs w:val="24"/>
          <w:lang w:eastAsia="el-GR"/>
        </w:rPr>
        <w:t xml:space="preserve"> - Європейський Союз.</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МСБ</w:t>
      </w:r>
      <w:r>
        <w:rPr>
          <w:rFonts w:ascii="Times New Roman" w:eastAsia="Times New Roman" w:hAnsi="Times New Roman" w:cs="Times New Roman"/>
          <w:bCs/>
          <w:color w:val="002060"/>
          <w:sz w:val="24"/>
          <w:szCs w:val="24"/>
          <w:lang w:eastAsia="el-GR"/>
        </w:rPr>
        <w:t xml:space="preserve"> – Підприємства, що відносяться до малого та середнього бізнесу.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 xml:space="preserve">МФК – </w:t>
      </w:r>
      <w:r>
        <w:rPr>
          <w:rFonts w:ascii="Times New Roman" w:eastAsia="Times New Roman" w:hAnsi="Times New Roman" w:cs="Times New Roman"/>
          <w:bCs/>
          <w:color w:val="002060"/>
          <w:sz w:val="24"/>
          <w:szCs w:val="24"/>
          <w:lang w:eastAsia="el-GR"/>
        </w:rPr>
        <w:t>Міжнародна Фінансова Корпорація.</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НУО</w:t>
      </w:r>
      <w:r>
        <w:rPr>
          <w:rFonts w:ascii="Times New Roman" w:eastAsia="Times New Roman" w:hAnsi="Times New Roman" w:cs="Times New Roman"/>
          <w:bCs/>
          <w:color w:val="002060"/>
          <w:sz w:val="24"/>
          <w:szCs w:val="24"/>
          <w:lang w:eastAsia="el-GR"/>
        </w:rPr>
        <w:t xml:space="preserve"> - Неурядові організації.</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Рамкова угода</w:t>
      </w:r>
      <w:r>
        <w:rPr>
          <w:rFonts w:ascii="Times New Roman" w:eastAsia="Times New Roman" w:hAnsi="Times New Roman" w:cs="Times New Roman"/>
          <w:bCs/>
          <w:color w:val="002060"/>
          <w:sz w:val="24"/>
          <w:szCs w:val="24"/>
          <w:lang w:eastAsia="el-GR"/>
        </w:rPr>
        <w:t xml:space="preserve"> - угода між двома сторонами, яка визнає, що сторони не дійшли остаточної згоди з усіх питань, що стосуються відносин між ними, але досягли згоди з питань, достатніх для розвитку відносин, з подальшим узгодженням деталей у майбутньому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 xml:space="preserve">Регулятор / НБУ – </w:t>
      </w:r>
      <w:r>
        <w:rPr>
          <w:rFonts w:ascii="Times New Roman" w:eastAsia="Times New Roman" w:hAnsi="Times New Roman" w:cs="Times New Roman"/>
          <w:bCs/>
          <w:color w:val="002060"/>
          <w:sz w:val="24"/>
          <w:szCs w:val="24"/>
          <w:lang w:eastAsia="el-GR"/>
        </w:rPr>
        <w:t>Національний Банк України.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СЕСУМ</w:t>
      </w:r>
      <w:r>
        <w:rPr>
          <w:rFonts w:ascii="Times New Roman" w:eastAsia="Times New Roman" w:hAnsi="Times New Roman" w:cs="Times New Roman"/>
          <w:bCs/>
          <w:color w:val="002060"/>
          <w:sz w:val="24"/>
          <w:szCs w:val="24"/>
          <w:lang w:eastAsia="el-GR"/>
        </w:rPr>
        <w:t xml:space="preserve"> - Система екологічного, соціального та управлінського менеджменту.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Спеціаліст із зеленого банкінгу</w:t>
      </w:r>
      <w:r>
        <w:rPr>
          <w:rFonts w:ascii="Times New Roman" w:eastAsia="Times New Roman" w:hAnsi="Times New Roman" w:cs="Times New Roman"/>
          <w:bCs/>
          <w:color w:val="002060"/>
          <w:sz w:val="24"/>
          <w:szCs w:val="24"/>
          <w:lang w:eastAsia="el-GR"/>
        </w:rPr>
        <w:t xml:space="preserve"> - спеціаліст, добре обізнаний з оцінкою та моніторингом екологічних ризиків, розробкою зелених продуктів, а також розробкою екологічно чистих продуктів та заходів з покращення операційної діяльності для скорочення споживання ресурсів.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ФА</w:t>
      </w:r>
      <w:r>
        <w:rPr>
          <w:rFonts w:ascii="Times New Roman" w:eastAsia="Times New Roman" w:hAnsi="Times New Roman" w:cs="Times New Roman"/>
          <w:bCs/>
          <w:color w:val="002060"/>
          <w:sz w:val="24"/>
          <w:szCs w:val="24"/>
          <w:lang w:eastAsia="el-GR"/>
        </w:rPr>
        <w:t xml:space="preserve"> - Фінансовий аналітик Управління фінансового аналізу.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ФРП</w:t>
      </w:r>
      <w:r>
        <w:rPr>
          <w:rFonts w:ascii="Times New Roman" w:eastAsia="Times New Roman" w:hAnsi="Times New Roman" w:cs="Times New Roman"/>
          <w:bCs/>
          <w:color w:val="002060"/>
          <w:sz w:val="24"/>
          <w:szCs w:val="24"/>
          <w:lang w:eastAsia="el-GR"/>
        </w:rPr>
        <w:t xml:space="preserve"> – Фонд розвитку підприємництва.</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CRO</w:t>
      </w:r>
      <w:r>
        <w:rPr>
          <w:rFonts w:ascii="Times New Roman" w:eastAsia="Times New Roman" w:hAnsi="Times New Roman" w:cs="Times New Roman"/>
          <w:bCs/>
          <w:color w:val="002060"/>
          <w:sz w:val="24"/>
          <w:szCs w:val="24"/>
          <w:lang w:eastAsia="el-GR"/>
        </w:rPr>
        <w:t xml:space="preserve"> - Головний ризик-менеджер Банку - посадова особа банку, відповідальна за управління ризиками.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ESG</w:t>
      </w:r>
      <w:r>
        <w:rPr>
          <w:rFonts w:ascii="Times New Roman" w:eastAsia="Times New Roman" w:hAnsi="Times New Roman" w:cs="Times New Roman"/>
          <w:bCs/>
          <w:color w:val="002060"/>
          <w:sz w:val="24"/>
          <w:szCs w:val="24"/>
          <w:lang w:eastAsia="el-GR"/>
        </w:rPr>
        <w:t xml:space="preserve"> – </w:t>
      </w:r>
      <w:r>
        <w:rPr>
          <w:rFonts w:ascii="Times New Roman" w:eastAsia="Times New Roman" w:hAnsi="Times New Roman" w:cs="Times New Roman"/>
          <w:bCs/>
          <w:color w:val="002060"/>
          <w:sz w:val="24"/>
          <w:szCs w:val="24"/>
          <w:lang w:val="en-US" w:eastAsia="el-GR"/>
        </w:rPr>
        <w:t>Environmental</w:t>
      </w:r>
      <w:r>
        <w:rPr>
          <w:rFonts w:ascii="Times New Roman" w:eastAsia="Times New Roman" w:hAnsi="Times New Roman" w:cs="Times New Roman"/>
          <w:bCs/>
          <w:color w:val="002060"/>
          <w:sz w:val="24"/>
          <w:szCs w:val="24"/>
          <w:lang w:eastAsia="el-GR"/>
        </w:rPr>
        <w:t xml:space="preserve">, </w:t>
      </w:r>
      <w:r>
        <w:rPr>
          <w:rFonts w:ascii="Times New Roman" w:eastAsia="Times New Roman" w:hAnsi="Times New Roman" w:cs="Times New Roman"/>
          <w:bCs/>
          <w:color w:val="002060"/>
          <w:sz w:val="24"/>
          <w:szCs w:val="24"/>
          <w:lang w:val="en-US" w:eastAsia="el-GR"/>
        </w:rPr>
        <w:t>Social</w:t>
      </w:r>
      <w:r>
        <w:rPr>
          <w:rFonts w:ascii="Times New Roman" w:eastAsia="Times New Roman" w:hAnsi="Times New Roman" w:cs="Times New Roman"/>
          <w:bCs/>
          <w:color w:val="002060"/>
          <w:sz w:val="24"/>
          <w:szCs w:val="24"/>
          <w:lang w:eastAsia="el-GR"/>
        </w:rPr>
        <w:t xml:space="preserve">, </w:t>
      </w:r>
      <w:r>
        <w:rPr>
          <w:rFonts w:ascii="Times New Roman" w:eastAsia="Times New Roman" w:hAnsi="Times New Roman" w:cs="Times New Roman"/>
          <w:bCs/>
          <w:color w:val="002060"/>
          <w:sz w:val="24"/>
          <w:szCs w:val="24"/>
          <w:lang w:val="en-US" w:eastAsia="el-GR"/>
        </w:rPr>
        <w:t>Governance</w:t>
      </w:r>
      <w:r>
        <w:rPr>
          <w:rFonts w:ascii="Times New Roman" w:eastAsia="Times New Roman" w:hAnsi="Times New Roman" w:cs="Times New Roman"/>
          <w:bCs/>
          <w:color w:val="002060"/>
          <w:sz w:val="24"/>
          <w:szCs w:val="24"/>
          <w:lang w:eastAsia="el-GR"/>
        </w:rPr>
        <w:t xml:space="preserve"> - екологічні, соціальні та корпоративні критерії оцінки управління бізнесом.</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val="en-US" w:eastAsia="el-GR"/>
        </w:rPr>
        <w:t>FiM</w:t>
      </w:r>
      <w:r>
        <w:rPr>
          <w:rFonts w:ascii="Times New Roman" w:eastAsia="Times New Roman" w:hAnsi="Times New Roman" w:cs="Times New Roman"/>
          <w:bCs/>
          <w:color w:val="002060"/>
          <w:sz w:val="24"/>
          <w:szCs w:val="24"/>
          <w:lang w:val="en-US" w:eastAsia="el-GR"/>
        </w:rPr>
        <w:t xml:space="preserve"> - Finance in Motion</w:t>
      </w:r>
      <w:r>
        <w:rPr>
          <w:rFonts w:ascii="Times New Roman" w:eastAsia="Times New Roman" w:hAnsi="Times New Roman" w:cs="Times New Roman"/>
          <w:bCs/>
          <w:color w:val="002060"/>
          <w:sz w:val="24"/>
          <w:szCs w:val="24"/>
          <w:lang w:eastAsia="el-GR"/>
        </w:rPr>
        <w:t>.</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KYC</w:t>
      </w:r>
      <w:r>
        <w:rPr>
          <w:rFonts w:ascii="Times New Roman" w:eastAsia="Times New Roman" w:hAnsi="Times New Roman" w:cs="Times New Roman"/>
          <w:bCs/>
          <w:color w:val="002060"/>
          <w:sz w:val="24"/>
          <w:szCs w:val="24"/>
          <w:lang w:eastAsia="el-GR"/>
        </w:rPr>
        <w:t xml:space="preserve"> – </w:t>
      </w:r>
      <w:r>
        <w:rPr>
          <w:rFonts w:ascii="Times New Roman" w:eastAsia="Times New Roman" w:hAnsi="Times New Roman" w:cs="Times New Roman"/>
          <w:bCs/>
          <w:color w:val="002060"/>
          <w:sz w:val="24"/>
          <w:szCs w:val="24"/>
          <w:lang w:val="en-US" w:eastAsia="el-GR"/>
        </w:rPr>
        <w:t>Know Your Client</w:t>
      </w:r>
      <w:r>
        <w:rPr>
          <w:rFonts w:ascii="Times New Roman" w:eastAsia="Times New Roman" w:hAnsi="Times New Roman" w:cs="Times New Roman"/>
          <w:bCs/>
          <w:color w:val="002060"/>
          <w:sz w:val="24"/>
          <w:szCs w:val="24"/>
          <w:lang w:eastAsia="el-GR"/>
        </w:rPr>
        <w:t xml:space="preserve"> / Знай свого Клієнта.</w:t>
      </w:r>
    </w:p>
    <w:p w:rsidR="00506B88" w:rsidRDefault="00506B88">
      <w:pPr>
        <w:spacing w:after="0" w:line="240" w:lineRule="auto"/>
        <w:jc w:val="both"/>
        <w:rPr>
          <w:rFonts w:ascii="Times New Roman" w:eastAsia="Times New Roman" w:hAnsi="Times New Roman" w:cs="Times New Roman"/>
          <w:bCs/>
          <w:i/>
          <w:color w:val="002060"/>
          <w:sz w:val="24"/>
          <w:szCs w:val="24"/>
          <w:lang w:eastAsia="el-GR"/>
        </w:rPr>
      </w:pPr>
    </w:p>
    <w:p w:rsidR="00506B88" w:rsidRDefault="008F66B5">
      <w:pPr>
        <w:pStyle w:val="Heading1"/>
        <w:ind w:left="567"/>
        <w:rPr>
          <w:rFonts w:ascii="Times New Roman" w:hAnsi="Times New Roman"/>
          <w:b/>
          <w:color w:val="002060"/>
        </w:rPr>
      </w:pPr>
      <w:bookmarkStart w:id="2" w:name="_Toc216290569"/>
      <w:r>
        <w:rPr>
          <w:rFonts w:ascii="Times New Roman" w:hAnsi="Times New Roman"/>
          <w:b/>
          <w:color w:val="002060"/>
        </w:rPr>
        <w:t xml:space="preserve">3. </w:t>
      </w:r>
      <w:r w:rsidRPr="008F66B5">
        <w:rPr>
          <w:rFonts w:ascii="Times New Roman" w:hAnsi="Times New Roman"/>
          <w:b/>
          <w:color w:val="002060"/>
          <w:lang w:val="ru-RU"/>
        </w:rPr>
        <w:t>ОСНОВНА ЧАСТИНА. С</w:t>
      </w:r>
      <w:r>
        <w:rPr>
          <w:rFonts w:ascii="Times New Roman" w:hAnsi="Times New Roman"/>
          <w:b/>
          <w:color w:val="002060"/>
        </w:rPr>
        <w:t>ИСТЕМА ЕКОЛОГІЧНОГО, СОЦІАЛЬНОГО ТА УПРАВЛІНСЬКОГО МЕНЕДЖМЕНТУ</w:t>
      </w:r>
      <w:bookmarkEnd w:id="2"/>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Система екологічного, соціального та управлінського менеджменту (надалі - СЕCУМ) це двоєдиний механізм, який інтегрує, з одного боку, екологічні, соціальні та управлінські аспекти в діяльність Банку, а з іншого - управління ESG ризиками в бізнес-процеси. Останнє передбачає комплекс дій та процедур, які включені в існуючі фінансові процедури Банку.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СЕСУМ забезпечує відповідність внутрішніх операцій Банку та кредитної діяльності Банку цій Політиці, а також вимогам українського законодавства. Банк повинен відстежувати, мати доступ та контролювати екологічні, соціальні та управлінські ризики, пов'язані з </w:t>
      </w:r>
      <w:r>
        <w:rPr>
          <w:rFonts w:ascii="Times New Roman" w:eastAsia="Times New Roman" w:hAnsi="Times New Roman" w:cs="Times New Roman"/>
          <w:bCs/>
          <w:color w:val="002060"/>
          <w:sz w:val="24"/>
          <w:szCs w:val="24"/>
          <w:lang w:eastAsia="el-GR"/>
        </w:rPr>
        <w:lastRenderedPageBreak/>
        <w:t>господарською діяльністю своїх клієнтів, що передбачає комунікацію між клієнтом, його працівниками та місцевими громадами, на які безпосередньо впливає його господарська діяльність.</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СЕСУМ допомагає Банку шляхом проведення перевірки екологічних, соціальних та управлінських ризиків до, під час та після надання кредиту уникнути або пом'якшити відповідні ризики протягом усього періоду дії кредитної угоди. Це вимагає розробки належної системи управління, яка сприятиме досягненню надійних і сталих екологічних та соціальних результатів клієнтів, що призведе до стабільних фінансових результатів для Банку.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Складові СЕСУМ:</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 Політика управління екологічними, соціальними та управлінськими ризиками</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2. Процедури оцінки ESG ризиків</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3. Моніторинг та ведення обліку</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 Щорічний перегляд та постійне вдосконалення СЕСУМ</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5. Внутрішня та зовнішня звітність</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6. Оцінка ризик-апетиту ESG ризиків у складі Стратегії управління ризиками і капіталом </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7. Ролі та обов'язки щодо впровадження та перегляду СЕСУМ</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8. Зовнішня комунікація</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9. План готовності та реагування на надзвичайні ситуації</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10. Навчання</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11. Затвердження бюджету та вищого керівництва</w:t>
      </w:r>
    </w:p>
    <w:p w:rsidR="00506B88" w:rsidRDefault="00506B88">
      <w:pPr>
        <w:spacing w:after="0" w:line="240" w:lineRule="auto"/>
        <w:ind w:left="567"/>
        <w:jc w:val="both"/>
        <w:rPr>
          <w:rFonts w:ascii="Times New Roman" w:eastAsia="Times New Roman" w:hAnsi="Times New Roman" w:cs="Times New Roman"/>
          <w:color w:val="002060"/>
          <w:sz w:val="24"/>
          <w:szCs w:val="24"/>
          <w:lang w:eastAsia="el-GR"/>
        </w:rPr>
      </w:pPr>
    </w:p>
    <w:p w:rsidR="00506B88" w:rsidRPr="005E4A71" w:rsidRDefault="008F66B5">
      <w:pPr>
        <w:spacing w:after="0" w:line="240" w:lineRule="auto"/>
        <w:ind w:firstLine="567"/>
        <w:jc w:val="both"/>
        <w:rPr>
          <w:rFonts w:ascii="Times New Roman" w:eastAsia="Times New Roman" w:hAnsi="Times New Roman" w:cs="Times New Roman"/>
          <w:b/>
          <w:bCs/>
          <w:color w:val="002060"/>
          <w:sz w:val="24"/>
          <w:szCs w:val="24"/>
        </w:rPr>
      </w:pPr>
      <w:r w:rsidRPr="005E4A71">
        <w:rPr>
          <w:rFonts w:ascii="Times New Roman" w:eastAsia="Times New Roman" w:hAnsi="Times New Roman" w:cs="Times New Roman"/>
          <w:b/>
          <w:bCs/>
          <w:color w:val="002060"/>
          <w:sz w:val="24"/>
          <w:szCs w:val="24"/>
          <w:lang w:eastAsia="el-GR"/>
        </w:rPr>
        <w:t>3.1. ВПРОВАДЖЕННЯ СИСТЕМИ ЕКОЛОГІЧНОГО, СОЦІАЛЬНОГО ТА УПРАВЛІНСЬКОГО МЕНЕДЖМЕНТУ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3.1.1. ESG ПОЛІТИКА В ЗАГАЛЬНИХ РИСАХ</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Група прагне стати лідером із ESG чутливістю, який сприяє зростанню економіки країни завдяки своїм акціонерам, клієнтам та співробітникам. Група намагається робити своє бачення та стратегічні напрямки зрозумілими для всіх зацікавлених сторін; надає унікальний досвід обслуговування клієнтів; розвиває професіоналів та створює можливості; будує довіру через прозорість та щирість; сприяє командному духу та заохочує до участі; працює над створенням сталого суспільства, навколишнього середовища та ринку. У зв'язку з цим, починаючи з 2010 року, Група прийняла наступну заяву про сталий розвиток:</w:t>
      </w:r>
    </w:p>
    <w:p w:rsidR="00506B88" w:rsidRDefault="008F66B5">
      <w:pPr>
        <w:spacing w:after="0" w:line="240" w:lineRule="auto"/>
        <w:ind w:firstLine="567"/>
        <w:jc w:val="both"/>
        <w:rPr>
          <w:rFonts w:ascii="Times New Roman" w:eastAsia="Times New Roman" w:hAnsi="Times New Roman" w:cs="Times New Roman"/>
          <w:bCs/>
          <w:i/>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i/>
          <w:color w:val="002060"/>
          <w:sz w:val="24"/>
          <w:szCs w:val="24"/>
          <w:lang w:eastAsia="el-GR"/>
        </w:rPr>
        <w:t>Ми також підтримуватимемо та фінансуватимемо компанії, установи, організації та проєкти, які пропонують додаткову вартість та приносять користь людям і навколишньому середовищу, підтримуючи власників депозитних рахунків та інвесторів, які бажають просувати індивідуальну та корпоративну соціальну відповідальність у сталому суспільстві.</w:t>
      </w:r>
    </w:p>
    <w:p w:rsidR="00506B88" w:rsidRDefault="008F66B5">
      <w:pPr>
        <w:spacing w:after="0" w:line="240" w:lineRule="auto"/>
        <w:ind w:firstLine="567"/>
        <w:jc w:val="both"/>
        <w:rPr>
          <w:rFonts w:ascii="Times New Roman" w:eastAsia="Times New Roman" w:hAnsi="Times New Roman" w:cs="Times New Roman"/>
          <w:bCs/>
          <w:i/>
          <w:color w:val="002060"/>
          <w:sz w:val="24"/>
          <w:szCs w:val="24"/>
          <w:lang w:eastAsia="el-GR"/>
        </w:rPr>
      </w:pPr>
      <w:r>
        <w:rPr>
          <w:rFonts w:ascii="Times New Roman" w:eastAsia="Times New Roman" w:hAnsi="Times New Roman" w:cs="Times New Roman"/>
          <w:bCs/>
          <w:i/>
          <w:color w:val="002060"/>
          <w:sz w:val="24"/>
          <w:szCs w:val="24"/>
          <w:lang w:eastAsia="el-GR"/>
        </w:rPr>
        <w:t>Ми хочемо, щоб економічний розвиток сприяв підвищенню якості життя і зосереджувався на людській гідності, не ставлячи під загрозу майбутні екологічні та соціальні показники".</w:t>
      </w:r>
    </w:p>
    <w:p w:rsidR="00506B88" w:rsidRDefault="008F66B5">
      <w:pPr>
        <w:spacing w:after="0" w:line="240" w:lineRule="auto"/>
        <w:ind w:firstLine="567"/>
        <w:jc w:val="both"/>
        <w:rPr>
          <w:rFonts w:ascii="Times New Roman" w:eastAsia="Times New Roman" w:hAnsi="Times New Roman" w:cs="Times New Roman"/>
          <w:bCs/>
          <w:i/>
          <w:color w:val="002060"/>
          <w:sz w:val="24"/>
          <w:szCs w:val="24"/>
          <w:lang w:eastAsia="el-GR"/>
        </w:rPr>
      </w:pPr>
      <w:r>
        <w:rPr>
          <w:rFonts w:ascii="Times New Roman" w:eastAsia="Times New Roman" w:hAnsi="Times New Roman" w:cs="Times New Roman"/>
          <w:bCs/>
          <w:i/>
          <w:color w:val="002060"/>
          <w:sz w:val="24"/>
          <w:szCs w:val="24"/>
          <w:lang w:eastAsia="el-GR"/>
        </w:rPr>
        <w:t>Заява про сталий розвиток Виконавчий комітет Групи, 7 червня 2010.</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Крім того, Група визнає, що принципи сталого розвитку є фундаментальною передумовою ефективного підприємництва. Дотримуючись принципів та настанов Групи (яка бере до уваги Цілі сталого розвитку ООН, є членом філії ЮНЕП, підписала Маніфест позитивного впливу філії ЮНЕП, підтримала Паризьке зобов’язання щодо дій, бере участь у Декларації про наміри з енергоефективності філії ЮНЕП), а також дотримуючись місцевого законодавства з екологічних та соціальних питань (Закони України "Про охорону навколишнього природного середовища", </w:t>
      </w:r>
      <w:r>
        <w:rPr>
          <w:rFonts w:ascii="Times New Roman" w:hAnsi="Times New Roman" w:cs="Times New Roman"/>
          <w:color w:val="002060"/>
          <w:sz w:val="24"/>
          <w:szCs w:val="24"/>
        </w:rPr>
        <w:t xml:space="preserve">Закону України «Про оцінку впливу на довкілля», </w:t>
      </w:r>
      <w:r>
        <w:rPr>
          <w:rFonts w:ascii="Times New Roman" w:eastAsia="Times New Roman" w:hAnsi="Times New Roman" w:cs="Times New Roman"/>
          <w:bCs/>
          <w:color w:val="002060"/>
          <w:sz w:val="24"/>
          <w:szCs w:val="24"/>
          <w:lang w:eastAsia="el-GR"/>
        </w:rPr>
        <w:t xml:space="preserve">"Про державні соціальні стандарти та державні соціальні гарантії", Кодекс законів про працю </w:t>
      </w:r>
      <w:r>
        <w:rPr>
          <w:rFonts w:ascii="Times New Roman" w:eastAsia="Times New Roman" w:hAnsi="Times New Roman" w:cs="Times New Roman"/>
          <w:bCs/>
          <w:color w:val="002060"/>
          <w:sz w:val="24"/>
          <w:szCs w:val="24"/>
          <w:lang w:eastAsia="el-GR"/>
        </w:rPr>
        <w:lastRenderedPageBreak/>
        <w:t>тощо), Банк включає екологічні, соціальні та управлінські критерії у свої операційні та бізнес-процедури, а також розробляє стратегії, спрямовані на дотримання місцевого та міжнародного законодавства та нормативно-правових актів у сфері охорони навколишнього природного середовища та сталого розвитку для отримання позитивного впливу на навколишнє природне середовище, суспільство та культурну спадщину, що виходить за рамки правових зобов'язань.</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Неочікувані наслідки екологічних, соціальних та управлінських ризиків, пов'язаних з діяльністю клієнта, в кінцевому підсумку також впливають на Банк в результаті транзакції, яка пов'язує клієнта з Банком. Неочікувані наслідки для клієнта можуть включати: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r>
      <w:r w:rsidRPr="00135326">
        <w:rPr>
          <w:rFonts w:ascii="Times New Roman" w:eastAsia="Times New Roman" w:hAnsi="Times New Roman" w:cs="Times New Roman"/>
          <w:b/>
          <w:bCs/>
          <w:color w:val="002060"/>
          <w:sz w:val="24"/>
          <w:szCs w:val="24"/>
          <w:lang w:eastAsia="el-GR"/>
        </w:rPr>
        <w:t>Перебої в роботі</w:t>
      </w:r>
      <w:r>
        <w:rPr>
          <w:rFonts w:ascii="Times New Roman" w:eastAsia="Times New Roman" w:hAnsi="Times New Roman" w:cs="Times New Roman"/>
          <w:bCs/>
          <w:color w:val="002060"/>
          <w:sz w:val="24"/>
          <w:szCs w:val="24"/>
          <w:lang w:eastAsia="el-GR"/>
        </w:rPr>
        <w:t>. Операції клієнта можуть зазнати прямого впливу через зміну соціальних умов, наприклад, високу плинність кадрів, або зміну умов навколишнього середовища, наприклад, погіршення ресурсів, від яких залежить діяльність клієнта. Це впливає на перспективи клієнта/інвестора залишатися в бізнесі та становить ризик для фінансової установи.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r>
      <w:r w:rsidRPr="00135326">
        <w:rPr>
          <w:rFonts w:ascii="Times New Roman" w:eastAsia="Times New Roman" w:hAnsi="Times New Roman" w:cs="Times New Roman"/>
          <w:b/>
          <w:bCs/>
          <w:color w:val="002060"/>
          <w:sz w:val="24"/>
          <w:szCs w:val="24"/>
          <w:lang w:eastAsia="el-GR"/>
        </w:rPr>
        <w:t>Правові питання</w:t>
      </w:r>
      <w:r>
        <w:rPr>
          <w:rFonts w:ascii="Times New Roman" w:eastAsia="Times New Roman" w:hAnsi="Times New Roman" w:cs="Times New Roman"/>
          <w:bCs/>
          <w:color w:val="002060"/>
          <w:sz w:val="24"/>
          <w:szCs w:val="24"/>
          <w:lang w:eastAsia="el-GR"/>
        </w:rPr>
        <w:t>. Екологічне, соціальне та управлінське законодавство країни встановлює вимоги до ліцензій на ведення діяльності, стандартів охорони здоров'я та безпеки праці, а також дозволів на викиди/скиди забруднюючих речовин. Якщо клієнт/інвестор не дотримується цих вимог або постійно демонструє недбалість чи невідповідність, це може призвести до штрафів і пені або навіть до призупинення діяльності на невизначений термін, оскільки дозвіл на експлуатацію може бути відкликаний органами влади. Це впливає на фінансову та операційну життєздатність клієнта і становить ризик для Банку.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r>
      <w:r w:rsidRPr="00135326">
        <w:rPr>
          <w:rFonts w:ascii="Times New Roman" w:eastAsia="Times New Roman" w:hAnsi="Times New Roman" w:cs="Times New Roman"/>
          <w:b/>
          <w:bCs/>
          <w:color w:val="002060"/>
          <w:sz w:val="24"/>
          <w:szCs w:val="24"/>
          <w:lang w:eastAsia="el-GR"/>
        </w:rPr>
        <w:t>Втрата частки ринку</w:t>
      </w:r>
      <w:r>
        <w:rPr>
          <w:rFonts w:ascii="Times New Roman" w:eastAsia="Times New Roman" w:hAnsi="Times New Roman" w:cs="Times New Roman"/>
          <w:bCs/>
          <w:color w:val="002060"/>
          <w:sz w:val="24"/>
          <w:szCs w:val="24"/>
          <w:lang w:eastAsia="el-GR"/>
        </w:rPr>
        <w:t>. У зв'язку з новими екологічними, соціальними та управлінськими нормами та/або вимогами ринку щодо соціально відповідальних або екологічно безпечних продуктів і послуг, клієнт може втратити частку ринку, якщо не зможе відповідати цим вимогам. Це впливає на здатність клієнта підтримувати прибуток від існуючих операцій і становить ризик для Банку.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r>
      <w:r w:rsidRPr="00135326">
        <w:rPr>
          <w:rFonts w:ascii="Times New Roman" w:eastAsia="Times New Roman" w:hAnsi="Times New Roman" w:cs="Times New Roman"/>
          <w:b/>
          <w:bCs/>
          <w:color w:val="002060"/>
          <w:sz w:val="24"/>
          <w:szCs w:val="24"/>
          <w:lang w:eastAsia="el-GR"/>
        </w:rPr>
        <w:t>Зобов'язання та ринкова девальвація</w:t>
      </w:r>
      <w:r>
        <w:rPr>
          <w:rFonts w:ascii="Times New Roman" w:eastAsia="Times New Roman" w:hAnsi="Times New Roman" w:cs="Times New Roman"/>
          <w:bCs/>
          <w:color w:val="002060"/>
          <w:sz w:val="24"/>
          <w:szCs w:val="24"/>
          <w:lang w:eastAsia="el-GR"/>
        </w:rPr>
        <w:t>. Клієнти можуть стикнутися з екологічними, соціальними та управлінськими зобов'язаннями, пов'язаними із забрудненням довкілля, а також зі збитками або травмами, завданими третім особам. Це можуть бути будь-які вимоги щодо відшкодування збитків або компенсації через екологічну та соціальну шкоду, спричинену діяльністю клієнта. Для клієнта це може бути значним фінансовим тягарем і, як правило, призводить до ринкової девальвації активів. Для банку це призводить до знецінення застави, а також до виникнення потенційних зобов'язань.</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r>
      <w:r w:rsidRPr="00135326">
        <w:rPr>
          <w:rFonts w:ascii="Times New Roman" w:eastAsia="Times New Roman" w:hAnsi="Times New Roman" w:cs="Times New Roman"/>
          <w:b/>
          <w:bCs/>
          <w:color w:val="002060"/>
          <w:sz w:val="24"/>
          <w:szCs w:val="24"/>
          <w:lang w:eastAsia="el-GR"/>
        </w:rPr>
        <w:t>Погана репутація</w:t>
      </w:r>
      <w:r>
        <w:rPr>
          <w:rFonts w:ascii="Times New Roman" w:eastAsia="Times New Roman" w:hAnsi="Times New Roman" w:cs="Times New Roman"/>
          <w:bCs/>
          <w:color w:val="002060"/>
          <w:sz w:val="24"/>
          <w:szCs w:val="24"/>
          <w:lang w:eastAsia="el-GR"/>
        </w:rPr>
        <w:t>. Оскільки обізнаність громадськості щодо екологічних, соціальних та управлінських питань зростає, діяльність клієнта все частіше стає об'єктом ретельної перевірки на предмет забезпечення належного управління та підзвітності. Погані екологічні та соціальні показники можуть призвести до спротиву громади присутності клієнта в громаді та потенційних затримок або перебоїв у роботі клієнта. Негативне сприйняття з боку громадськості зашкодить репутації клієнта, що може призвести до зниження попиту на його продукцію або послуги. Це впливає на фінансову та операційну життєздатність клієнта і становить ризик для Банку.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 цією метою Банк:</w:t>
      </w:r>
    </w:p>
    <w:p w:rsidR="00506B88" w:rsidRPr="00135326" w:rsidRDefault="008F66B5">
      <w:pPr>
        <w:pStyle w:val="ListParagraph"/>
        <w:numPr>
          <w:ilvl w:val="0"/>
          <w:numId w:val="22"/>
        </w:numPr>
        <w:spacing w:after="0" w:line="240" w:lineRule="auto"/>
        <w:jc w:val="both"/>
        <w:rPr>
          <w:rFonts w:ascii="Times New Roman" w:eastAsia="Times New Roman" w:hAnsi="Times New Roman" w:cs="Times New Roman"/>
          <w:b/>
          <w:bCs/>
          <w:color w:val="002060"/>
          <w:sz w:val="24"/>
          <w:szCs w:val="24"/>
          <w:lang w:eastAsia="el-GR"/>
        </w:rPr>
      </w:pPr>
      <w:r w:rsidRPr="00135326">
        <w:rPr>
          <w:rFonts w:ascii="Times New Roman" w:eastAsia="Times New Roman" w:hAnsi="Times New Roman" w:cs="Times New Roman"/>
          <w:b/>
          <w:bCs/>
          <w:color w:val="002060"/>
          <w:sz w:val="24"/>
          <w:szCs w:val="24"/>
          <w:lang w:eastAsia="el-GR"/>
        </w:rPr>
        <w:t>Зміцнює корпоративне управління</w:t>
      </w:r>
      <w:r w:rsidR="00135326">
        <w:rPr>
          <w:rFonts w:ascii="Times New Roman" w:eastAsia="Times New Roman" w:hAnsi="Times New Roman" w:cs="Times New Roman"/>
          <w:b/>
          <w:bCs/>
          <w:color w:val="002060"/>
          <w:sz w:val="24"/>
          <w:szCs w:val="24"/>
          <w:lang w:val="en-US" w:eastAsia="el-GR"/>
        </w:rPr>
        <w:t>.</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повністю дотримується нормативної бази корпоративного управління, захищаючи свої корпоративні інтереси, а через них – інтереси свої акціонерів. Водночас, постійне вдосконалення системи управління, внутрішнього контролю, дотримання нормативних вимог, прозорість та розкриття інформації для інвестиційного співтовариства є ключовими питаннями.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lastRenderedPageBreak/>
        <w:t>Банк забезпечує прозорість, застосовуючи відповідні процедури оцінки та відбору партнерів та постачальників.</w:t>
      </w:r>
    </w:p>
    <w:p w:rsidR="00506B88" w:rsidRPr="00135326" w:rsidRDefault="008F66B5">
      <w:pPr>
        <w:pStyle w:val="ListParagraph"/>
        <w:numPr>
          <w:ilvl w:val="0"/>
          <w:numId w:val="22"/>
        </w:numPr>
        <w:spacing w:after="0" w:line="240" w:lineRule="auto"/>
        <w:jc w:val="both"/>
        <w:rPr>
          <w:rFonts w:ascii="Times New Roman" w:eastAsia="Times New Roman" w:hAnsi="Times New Roman" w:cs="Times New Roman"/>
          <w:b/>
          <w:bCs/>
          <w:color w:val="002060"/>
          <w:sz w:val="24"/>
          <w:szCs w:val="24"/>
          <w:lang w:eastAsia="el-GR"/>
        </w:rPr>
      </w:pPr>
      <w:r w:rsidRPr="00135326">
        <w:rPr>
          <w:rFonts w:ascii="Times New Roman" w:eastAsia="Times New Roman" w:hAnsi="Times New Roman" w:cs="Times New Roman"/>
          <w:b/>
          <w:bCs/>
          <w:color w:val="002060"/>
          <w:sz w:val="24"/>
          <w:szCs w:val="24"/>
          <w:lang w:eastAsia="el-GR"/>
        </w:rPr>
        <w:t>Взаємодіє з клієнтами на основі довірчих та професійних відносин</w:t>
      </w:r>
      <w:r w:rsidR="00135326" w:rsidRPr="00135326">
        <w:rPr>
          <w:rFonts w:ascii="Times New Roman" w:eastAsia="Times New Roman" w:hAnsi="Times New Roman" w:cs="Times New Roman"/>
          <w:b/>
          <w:bCs/>
          <w:color w:val="002060"/>
          <w:sz w:val="24"/>
          <w:szCs w:val="24"/>
          <w:lang w:val="ru-RU" w:eastAsia="el-GR"/>
        </w:rPr>
        <w:t>.</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Фундаментальними принципами Банку у відносинах з клієнтами є: чітке надання інформації, прозорість договірних умов та безпека всіх видів транзакцій, як фізичних, так і електронних. Банк прагне побудувати довгострокові довірчі відносини зі своїми клієнтами завдяки високому рівню професіоналізму та якості послуг.</w:t>
      </w:r>
    </w:p>
    <w:p w:rsidR="00506B88" w:rsidRPr="00135326" w:rsidRDefault="008F66B5">
      <w:pPr>
        <w:pStyle w:val="ListParagraph"/>
        <w:numPr>
          <w:ilvl w:val="0"/>
          <w:numId w:val="22"/>
        </w:numPr>
        <w:spacing w:after="0" w:line="240" w:lineRule="auto"/>
        <w:jc w:val="both"/>
        <w:rPr>
          <w:rFonts w:ascii="Times New Roman" w:eastAsia="Times New Roman" w:hAnsi="Times New Roman" w:cs="Times New Roman"/>
          <w:b/>
          <w:bCs/>
          <w:color w:val="002060"/>
          <w:sz w:val="24"/>
          <w:szCs w:val="24"/>
          <w:lang w:eastAsia="el-GR"/>
        </w:rPr>
      </w:pPr>
      <w:r w:rsidRPr="00135326">
        <w:rPr>
          <w:rFonts w:ascii="Times New Roman" w:eastAsia="Times New Roman" w:hAnsi="Times New Roman" w:cs="Times New Roman"/>
          <w:b/>
          <w:bCs/>
          <w:color w:val="002060"/>
          <w:sz w:val="24"/>
          <w:szCs w:val="24"/>
          <w:lang w:eastAsia="el-GR"/>
        </w:rPr>
        <w:t>Впроваджує найкращі практики на робочому місці</w:t>
      </w:r>
      <w:r w:rsidR="00135326" w:rsidRPr="00135326">
        <w:rPr>
          <w:rFonts w:ascii="Times New Roman" w:eastAsia="Times New Roman" w:hAnsi="Times New Roman" w:cs="Times New Roman"/>
          <w:b/>
          <w:bCs/>
          <w:color w:val="002060"/>
          <w:sz w:val="24"/>
          <w:szCs w:val="24"/>
          <w:lang w:val="ru-RU" w:eastAsia="el-GR"/>
        </w:rPr>
        <w:t>.</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визнає, що людські ресурси є ключовим фактором успіху в досягненні стратегічних цілей. Він поважає права людини і розвиває гуманну та відповідальну організацію, де компетентні, віддані та натхненні співробітники працюють колективно, щоб бути лідерами на ринку завдяки різноманітності, впровадженню інновацій, створенню доданої вартості та забезпеченню процвітання та сталого розвитку.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забезпечує рівні можливості для безперервного розвитку співробітників, а також недискримінаційні практики в процесі найму на роботу за допомогою спеціальних систем відбору кандидатів.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вважає своїм пріоритетом здатність реагувати на аварійні та надзвичайні ситуації і тому створив систему готовності та реагування на надзвичайні ситуації.</w:t>
      </w:r>
    </w:p>
    <w:p w:rsidR="00506B88" w:rsidRPr="00135326" w:rsidRDefault="008F66B5">
      <w:pPr>
        <w:pStyle w:val="ListParagraph"/>
        <w:numPr>
          <w:ilvl w:val="0"/>
          <w:numId w:val="22"/>
        </w:numPr>
        <w:spacing w:after="0" w:line="240" w:lineRule="auto"/>
        <w:jc w:val="both"/>
        <w:rPr>
          <w:rFonts w:ascii="Times New Roman" w:eastAsia="Times New Roman" w:hAnsi="Times New Roman" w:cs="Times New Roman"/>
          <w:b/>
          <w:bCs/>
          <w:color w:val="002060"/>
          <w:sz w:val="24"/>
          <w:szCs w:val="24"/>
          <w:lang w:eastAsia="el-GR"/>
        </w:rPr>
      </w:pPr>
      <w:r w:rsidRPr="00135326">
        <w:rPr>
          <w:rFonts w:ascii="Times New Roman" w:eastAsia="Times New Roman" w:hAnsi="Times New Roman" w:cs="Times New Roman"/>
          <w:b/>
          <w:bCs/>
          <w:color w:val="002060"/>
          <w:sz w:val="24"/>
          <w:szCs w:val="24"/>
          <w:lang w:eastAsia="el-GR"/>
        </w:rPr>
        <w:t>Будує гармонійні відносини з соціальними партнерами</w:t>
      </w:r>
      <w:r w:rsidR="00135326" w:rsidRPr="00135326">
        <w:rPr>
          <w:rFonts w:ascii="Times New Roman" w:eastAsia="Times New Roman" w:hAnsi="Times New Roman" w:cs="Times New Roman"/>
          <w:b/>
          <w:bCs/>
          <w:color w:val="002060"/>
          <w:sz w:val="24"/>
          <w:szCs w:val="24"/>
          <w:lang w:val="ru-RU" w:eastAsia="el-GR"/>
        </w:rPr>
        <w:t>.</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підтримує сім'ю, освіту, охорону здоров'я та підприємництво - через волонтерські акції співробітників, прямі гранти та пожертви, а також співпрацю з неурядовими організаціями (НУО). Водночас Банк надає допомогу вразливим групам населення та окремим особам, які стикаються з труднощами на професійному та індивідуальному рівні.</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прагне реагувати на будь-які занепокоєння щодо своєї діяльності, зокрема, кредитної, які надходять від клієнтів або інших зацікавлених третіх осіб, і тому створив механізм  комунікацій та вирішення питань клієнтів.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sidRPr="00135326">
        <w:rPr>
          <w:rFonts w:ascii="Times New Roman" w:eastAsia="Times New Roman" w:hAnsi="Times New Roman" w:cs="Times New Roman"/>
          <w:b/>
          <w:bCs/>
          <w:color w:val="002060"/>
          <w:sz w:val="24"/>
          <w:szCs w:val="24"/>
          <w:lang w:eastAsia="el-GR"/>
        </w:rPr>
        <w:t>5. Захищає навколишнє середовище</w:t>
      </w:r>
      <w:r>
        <w:rPr>
          <w:rFonts w:ascii="Times New Roman" w:eastAsia="Times New Roman" w:hAnsi="Times New Roman" w:cs="Times New Roman"/>
          <w:bCs/>
          <w:color w:val="002060"/>
          <w:sz w:val="24"/>
          <w:szCs w:val="24"/>
          <w:lang w:eastAsia="el-GR"/>
        </w:rPr>
        <w:t>, відповідально використовуючи природні ресурси та підтримуючи екологічно сприятливу бізнес-діяльність</w:t>
      </w:r>
    </w:p>
    <w:p w:rsidR="00506B88" w:rsidRDefault="008F66B5" w:rsidP="005E4A71">
      <w:pPr>
        <w:spacing w:after="0"/>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Банк розробляє Стратегію ESG та Дорожню карту ESG, в яких визначає пріоритетні цілі, строки та відповідальних за їх впровадження, в тому числі стратегії для моніторингу та покращення своїх екологічних показників і зменшення впливу своєї діяльності на навколишнє середовище, використовуючи систему екологічного менеджменту відповідно до стандартів EMAS та ISO 14001. </w:t>
      </w:r>
    </w:p>
    <w:p w:rsidR="00506B88" w:rsidRDefault="008F66B5" w:rsidP="005E4A71">
      <w:pPr>
        <w:spacing w:after="0"/>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Оскільки Група визнає, що ризики, пов’язані зі зміною клімату, посилюватимуться у довгостроковій перспективі (приблизно протягом наступних п’яти років), розпочато низку ініціатив для врахування екологічних аспектів у бізнес-цілях, стратегіях, системі управління ризиками і процесах прийняття рішень. У цьому контексті в Групі реалізується спеціальна програма, у межах якої створені окремі напрями підтримки відповідальних бізнес-підрозділів для перегляду політик, що належать до їх компетенції, з урахуванням кліматичних та екологічних аспектів.</w:t>
      </w:r>
    </w:p>
    <w:p w:rsidR="00506B88" w:rsidRPr="00135326" w:rsidRDefault="008F66B5" w:rsidP="00135326">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Таким чином, Банк впроваджує екологічні, соціальні та управлінські критерії у свою операційну та господарську діяльність з метою дотримання місцевих та міжнародних стандартів, а також національного екологічного, соціального та управлінського законодавства. </w:t>
      </w:r>
    </w:p>
    <w:p w:rsidR="00506B88" w:rsidRPr="005E4A71" w:rsidRDefault="008F66B5">
      <w:pPr>
        <w:spacing w:after="0" w:line="240" w:lineRule="auto"/>
        <w:ind w:firstLine="567"/>
        <w:jc w:val="both"/>
        <w:rPr>
          <w:rFonts w:ascii="Times New Roman" w:eastAsia="Times New Roman" w:hAnsi="Times New Roman" w:cs="Times New Roman"/>
          <w:b/>
          <w:bCs/>
          <w:color w:val="002060"/>
          <w:sz w:val="24"/>
          <w:szCs w:val="24"/>
        </w:rPr>
      </w:pPr>
      <w:r w:rsidRPr="005E4A71">
        <w:rPr>
          <w:rFonts w:ascii="Times New Roman" w:eastAsia="Times New Roman" w:hAnsi="Times New Roman" w:cs="Times New Roman"/>
          <w:b/>
          <w:bCs/>
          <w:color w:val="002060"/>
          <w:sz w:val="24"/>
          <w:szCs w:val="24"/>
          <w:lang w:eastAsia="el-GR"/>
        </w:rPr>
        <w:t>3.2. ПРОЦЕДУРИ ОЦІНКИ ЕКОЛОГІЧНИХ, СОЦІАЛЬНИХ ТА УПРАВЛІНСЬКИХ РИЗИКІВ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визнає, що всі види діяльності та проєкти повинні відповідати найкращим екологічним, соціальним та управлінським стандартам, які включають</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lastRenderedPageBreak/>
        <w:t>•</w:t>
      </w:r>
      <w:r>
        <w:rPr>
          <w:rFonts w:ascii="Times New Roman" w:eastAsia="Times New Roman" w:hAnsi="Times New Roman" w:cs="Times New Roman"/>
          <w:bCs/>
          <w:color w:val="002060"/>
          <w:sz w:val="24"/>
          <w:szCs w:val="24"/>
          <w:lang w:eastAsia="el-GR"/>
        </w:rPr>
        <w:tab/>
      </w:r>
      <w:r w:rsidR="00135326">
        <w:rPr>
          <w:rFonts w:ascii="Times New Roman" w:eastAsia="Times New Roman" w:hAnsi="Times New Roman" w:cs="Times New Roman"/>
          <w:bCs/>
          <w:color w:val="002060"/>
          <w:sz w:val="24"/>
          <w:szCs w:val="24"/>
          <w:lang w:eastAsia="el-GR"/>
        </w:rPr>
        <w:t>Перелік</w:t>
      </w:r>
      <w:r>
        <w:rPr>
          <w:rFonts w:ascii="Times New Roman" w:eastAsia="Times New Roman" w:hAnsi="Times New Roman" w:cs="Times New Roman"/>
          <w:bCs/>
          <w:color w:val="002060"/>
          <w:sz w:val="24"/>
          <w:szCs w:val="24"/>
          <w:lang w:eastAsia="el-GR"/>
        </w:rPr>
        <w:t xml:space="preserve"> винятків Групи (Додаток B), доповнений винятками Світового Банку</w:t>
      </w:r>
      <w:r w:rsidR="00E734E3">
        <w:rPr>
          <w:rFonts w:ascii="Times New Roman" w:eastAsia="Times New Roman" w:hAnsi="Times New Roman" w:cs="Times New Roman"/>
          <w:bCs/>
          <w:color w:val="002060"/>
          <w:sz w:val="24"/>
          <w:szCs w:val="24"/>
          <w:lang w:eastAsia="el-GR"/>
        </w:rPr>
        <w:t xml:space="preserve"> та ін</w:t>
      </w:r>
      <w:r>
        <w:rPr>
          <w:rFonts w:ascii="Times New Roman" w:eastAsia="Times New Roman" w:hAnsi="Times New Roman" w:cs="Times New Roman"/>
          <w:bCs/>
          <w:color w:val="002060"/>
          <w:sz w:val="24"/>
          <w:szCs w:val="24"/>
          <w:lang w:eastAsia="el-GR"/>
        </w:rPr>
        <w:t>.</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t>Чинне місцеве, регіональне та національне законодавство з питань навколишнього середовища, охорони здоров'я, безпеки та соціальних питань.</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t>Міжнародні стандарти (наприклад, Стандарти діяльності МФК, Вимоги до діяльності ЄБРР, Принципи Екватора, тощо) як у Додатку C.</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постійно намагається застосовувати ефективні практики екологічного, соціального та управлінського менеджменту в усіх своїх фінансових операціях, продуктах та послугах. Крім того, нові кредитні угоди містять зобов'язання, які вимагають, щоб проекти фінансувалися лише тоді, коли очікується, що вони будуть спроектовані, побудовані, експлуатуватимуться та обслуговуватимуться у спосіб, що відповідає чинним вимогам і не суперечать принципам та вимогам ESG.</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Наступні кроки інтегровані в Процедуру надання кредитів клієнтам МСБ та корпоративного бізнесу та Кредитну політику для клієнтів МСБ та Корпоративного бізнесу.</w:t>
      </w:r>
    </w:p>
    <w:p w:rsidR="00506B88" w:rsidRDefault="008F66B5">
      <w:pPr>
        <w:pStyle w:val="ListParagraph"/>
        <w:numPr>
          <w:ilvl w:val="0"/>
          <w:numId w:val="23"/>
        </w:numPr>
        <w:spacing w:after="0" w:line="240" w:lineRule="auto"/>
        <w:jc w:val="both"/>
        <w:rPr>
          <w:rFonts w:ascii="Times New Roman" w:eastAsia="Times New Roman" w:hAnsi="Times New Roman" w:cs="Times New Roman"/>
          <w:b/>
          <w:bCs/>
          <w:i/>
          <w:color w:val="002060"/>
          <w:sz w:val="24"/>
          <w:szCs w:val="24"/>
          <w:lang w:eastAsia="el-GR"/>
        </w:rPr>
      </w:pPr>
      <w:r>
        <w:rPr>
          <w:rFonts w:ascii="Times New Roman" w:eastAsia="Times New Roman" w:hAnsi="Times New Roman" w:cs="Times New Roman"/>
          <w:b/>
          <w:bCs/>
          <w:i/>
          <w:color w:val="002060"/>
          <w:sz w:val="24"/>
          <w:szCs w:val="24"/>
          <w:lang w:eastAsia="el-GR"/>
        </w:rPr>
        <w:t>Скринінгові заходи проєкту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 початковому етапі розгляду кредитної заявки оцінюється діяльність проєкту, що розглядається.</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Під час процесу затвердження кредиту, повністю описаного в Процедурі надання кредитів клієнтам МСБ та корпоративного бізнесу та/або інших внутрішніх положеннях, які можуть замінити її, проводиться первинна перевірка на відповідність Переліку винятків (Додаток В). Якщо проєкт включає в себе виключені види діяльності, він не буде розглядатися для фінансування. Крім того, під час цього процесу перевіряється історія екологічних, соціальних та управлінських інцидентів клієнта шляхом отримання відповідних звітів/заяв від Позичальника (заява місцевої селищної влади, висновок санітарної служби, експертиза ветеринарно-санітарної служби тощо). Якщо клієнт або проєкт має історію екологічних, соціальних та управлінських  інцидентів, то в залежності від їх серйозності та масштабу (на індивідуальне судження ФА), фінансування не розглядається.</w:t>
      </w:r>
    </w:p>
    <w:p w:rsidR="00506B88" w:rsidRDefault="008F66B5">
      <w:pPr>
        <w:spacing w:after="0" w:line="240" w:lineRule="auto"/>
        <w:ind w:firstLine="567"/>
        <w:jc w:val="both"/>
        <w:rPr>
          <w:rFonts w:ascii="Times New Roman" w:eastAsia="Times New Roman" w:hAnsi="Times New Roman" w:cs="Times New Roman"/>
          <w:b/>
          <w:bCs/>
          <w:i/>
          <w:color w:val="002060"/>
          <w:sz w:val="24"/>
          <w:szCs w:val="24"/>
          <w:lang w:eastAsia="el-GR"/>
        </w:rPr>
      </w:pPr>
      <w:r>
        <w:rPr>
          <w:rFonts w:ascii="Times New Roman" w:eastAsia="Times New Roman" w:hAnsi="Times New Roman" w:cs="Times New Roman"/>
          <w:b/>
          <w:bCs/>
          <w:i/>
          <w:color w:val="002060"/>
          <w:sz w:val="24"/>
          <w:szCs w:val="24"/>
          <w:lang w:eastAsia="el-GR"/>
        </w:rPr>
        <w:t>B. Присвоєння проекту категорії ESG ризику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Потенційні та існуючі об'єкти розподіляються за категоріями на основі рівня їх ESG ризику. Ця категоризація визначається на основі восьми факторів:</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Сума кредиту</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Строк кредитування</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Тип кредиту/проекту</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Мета кредиту</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Галузь промисловості</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Близькість до екологічно чутливих територій</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Потенційно незворотні наслідки</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Масштаб екологічних та соціальних проблем</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В результаті визначення рівня ESG ризику (див. Додаток Е) кожен проект/кредит відноситься до однієї з трьох наступних категорій:</w:t>
      </w:r>
    </w:p>
    <w:p w:rsidR="00E734E3" w:rsidRDefault="008F66B5" w:rsidP="00E734E3">
      <w:pPr>
        <w:pStyle w:val="ListParagraph"/>
        <w:numPr>
          <w:ilvl w:val="0"/>
          <w:numId w:val="25"/>
        </w:numPr>
        <w:spacing w:after="0" w:line="240" w:lineRule="auto"/>
        <w:ind w:left="567" w:hanging="141"/>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Низький ризик (категорія С)</w:t>
      </w:r>
      <w:r>
        <w:rPr>
          <w:rFonts w:ascii="Times New Roman" w:eastAsia="Times New Roman" w:hAnsi="Times New Roman" w:cs="Times New Roman"/>
          <w:bCs/>
          <w:color w:val="002060"/>
          <w:sz w:val="24"/>
          <w:szCs w:val="24"/>
          <w:lang w:eastAsia="el-GR"/>
        </w:rPr>
        <w:t>: Проєкт з мінімальним або нульовим негативним впливом на соціальну сферу та навколишнє середовище.</w:t>
      </w:r>
    </w:p>
    <w:p w:rsidR="00E734E3" w:rsidRDefault="008F66B5" w:rsidP="00E734E3">
      <w:pPr>
        <w:pStyle w:val="ListParagraph"/>
        <w:numPr>
          <w:ilvl w:val="0"/>
          <w:numId w:val="25"/>
        </w:numPr>
        <w:spacing w:after="0" w:line="240" w:lineRule="auto"/>
        <w:ind w:left="567" w:hanging="141"/>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
          <w:bCs/>
          <w:color w:val="002060"/>
          <w:sz w:val="24"/>
          <w:szCs w:val="24"/>
          <w:lang w:eastAsia="el-GR"/>
        </w:rPr>
        <w:t>Середній ризик (Категорія В)</w:t>
      </w:r>
      <w:r w:rsidRPr="00E734E3">
        <w:rPr>
          <w:rFonts w:ascii="Times New Roman" w:eastAsia="Times New Roman" w:hAnsi="Times New Roman" w:cs="Times New Roman"/>
          <w:bCs/>
          <w:color w:val="002060"/>
          <w:sz w:val="24"/>
          <w:szCs w:val="24"/>
          <w:lang w:eastAsia="el-GR"/>
        </w:rPr>
        <w:t>: Проєкт з потенційно обмеженим негативним соціальним або екологічним впливом, який є нечисленним, як правило, специфічним для конкретного об'єкта, значною мірою оборотним і може бути легко усунутий за допомогою заходів з пом'якшення.</w:t>
      </w:r>
    </w:p>
    <w:p w:rsidR="00506B88" w:rsidRPr="00E734E3" w:rsidRDefault="008F66B5" w:rsidP="00E734E3">
      <w:pPr>
        <w:pStyle w:val="ListParagraph"/>
        <w:numPr>
          <w:ilvl w:val="0"/>
          <w:numId w:val="25"/>
        </w:numPr>
        <w:spacing w:after="0" w:line="240" w:lineRule="auto"/>
        <w:ind w:left="567" w:hanging="141"/>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
          <w:bCs/>
          <w:color w:val="002060"/>
          <w:sz w:val="24"/>
          <w:szCs w:val="24"/>
          <w:lang w:eastAsia="el-GR"/>
        </w:rPr>
        <w:t>Високий ризик (категорія А)</w:t>
      </w:r>
      <w:r w:rsidRPr="00E734E3">
        <w:rPr>
          <w:rFonts w:ascii="Times New Roman" w:eastAsia="Times New Roman" w:hAnsi="Times New Roman" w:cs="Times New Roman"/>
          <w:bCs/>
          <w:color w:val="002060"/>
          <w:sz w:val="24"/>
          <w:szCs w:val="24"/>
          <w:lang w:eastAsia="el-GR"/>
        </w:rPr>
        <w:t>: Проєкт з потенційно значними негативними соціальними або екологічними наслідками, які є різноманітними, незворотними та безпрецедентними.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lastRenderedPageBreak/>
        <w:t>Для проєктів з низьким ступенем ризику запропонована діяльність клієнта перевіряється на відповідність національним екологічним та соціальним законам і правилам. Проєкти/кредити з середнім та високим ступенем ризику проходять більш аналітичний процес екологічної та соціальної оцінки, як описано в розділі С.</w:t>
      </w:r>
    </w:p>
    <w:p w:rsidR="00506B88" w:rsidRPr="005E210F" w:rsidRDefault="008F66B5" w:rsidP="005E210F">
      <w:pPr>
        <w:pStyle w:val="ListParagraph"/>
        <w:numPr>
          <w:ilvl w:val="0"/>
          <w:numId w:val="29"/>
        </w:numPr>
        <w:spacing w:after="0" w:line="240" w:lineRule="auto"/>
        <w:jc w:val="both"/>
        <w:rPr>
          <w:rFonts w:ascii="Times New Roman" w:eastAsia="Times New Roman" w:hAnsi="Times New Roman" w:cs="Times New Roman"/>
          <w:b/>
          <w:bCs/>
          <w:i/>
          <w:color w:val="002060"/>
          <w:sz w:val="24"/>
          <w:szCs w:val="24"/>
          <w:lang w:eastAsia="el-GR"/>
        </w:rPr>
      </w:pPr>
      <w:r w:rsidRPr="005E210F">
        <w:rPr>
          <w:rFonts w:ascii="Times New Roman" w:eastAsia="Times New Roman" w:hAnsi="Times New Roman" w:cs="Times New Roman"/>
          <w:b/>
          <w:bCs/>
          <w:i/>
          <w:color w:val="002060"/>
          <w:sz w:val="24"/>
          <w:szCs w:val="24"/>
          <w:lang w:eastAsia="el-GR"/>
        </w:rPr>
        <w:t>Проведення юридичного аудиту проєкту з метою оцінки екологічних та соціальних ризиків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 цьому етапі потенційні клієнти повинні надати всю необхідну документацію згідно з національним екологічним, соціальним та управлінським законодавством (наприклад, Закони України "Про охорону навколишнього природного середовища", "Про державні соціальні стандарти та державні соціальні гарантії", Кодекс законів про працю та ін.) відповідно до особливостей проєкту на вимогу  кредитного спеціаліста.</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Якщо проєкт/клієнт не відповідає всім застосовним місцевим, відомчим, національним законам про охорону навколишнього середовища, здоров'я та безпеку, він має розробити план коригувальних дій (включаючи періодичну звітність та моніторинг) протягом розумного терміну, який має бути включений у кредитну угоду як умова надання коштів.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Якщо проєкт/клієнт не має всіх необхідних дозволів або</w:t>
      </w:r>
      <w:r>
        <w:rPr>
          <w:rFonts w:ascii="Times New Roman" w:eastAsia="Times New Roman" w:hAnsi="Times New Roman" w:cs="Times New Roman"/>
          <w:bCs/>
          <w:color w:val="002060"/>
          <w:sz w:val="24"/>
          <w:szCs w:val="24"/>
          <w:lang w:eastAsia="el-GR"/>
        </w:rPr>
        <w:tab/>
        <w:t>вони неактуальними, він має отримати/поновити існуючі дозволи перед тим, як приступити до фінансування.</w:t>
      </w:r>
    </w:p>
    <w:p w:rsidR="00506B88" w:rsidRDefault="008F66B5">
      <w:pPr>
        <w:pStyle w:val="ListParagraph"/>
        <w:numPr>
          <w:ilvl w:val="0"/>
          <w:numId w:val="26"/>
        </w:numPr>
        <w:spacing w:after="0" w:line="240" w:lineRule="auto"/>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ПРОЄКТ СЕРЕДНЬОГО РИЗИКУ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Для проєктів із середнім ступенем ризику діяльність клієнта перевіряється на відповідність національним екологічним і соціальним законам і правилам, а також наявним дозволам. Для цього відповідна національна документація слугує основою для проведення такого аналізу. У деяких випадках, що перевищують поріг, визначений у Додатку С, на етапі розгляду кредитної заявки та щорічно проводиться виїзд на об'єкт з метою виявлення потенційних екологічних, соціальних та управлінських наслідків.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У деяких випадках, особливо тих, що стосуються дотримання міжнародних стандартів, для проектів, які перевищують порогові значення, визначені в Додатку С, може знадобитися залучення зовнішнього незалежного технічного консультанта, який затверджується посадовою особою з питань ESG.</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Екологічні та соціальні ризики, виявлені під час візиту на об'єкт, фіксуються у формі "Форма опису та оцінки характеристики клієнта та проекту" (Додаток D). У разі наявності необґрунтованих ризиків проводиться поглиблена оцінка (комплексна перевірка) та узгоджується з клієнтом план коригувальних дій. Звіт про комплексну перевірку ("Форма опису та оцінки характеристик клієнта та проекту") та узгоджений план коригувальних заходів, спрямованих на зменшення невиправданих ризиків, є частиною документації, необхідної для розгляду під час остаточного затвердження кредиту. За необхідності план коригувальних заходів включається до кредитної угоди з клієнтом. Крім того, в кредитному договорі окремо згадується про обов'язок клієнта подавати звіт про відповідність (у довільній формі) для інтеграції заходів у свою діяльність, а також оперативно та вчасно (протягом 3 днів з моменту виникнення) повідомляти Банк про серйозні аварії або інциденти.</w:t>
      </w:r>
    </w:p>
    <w:p w:rsidR="00506B88" w:rsidRDefault="008F66B5">
      <w:pPr>
        <w:pStyle w:val="ListParagraph"/>
        <w:numPr>
          <w:ilvl w:val="0"/>
          <w:numId w:val="26"/>
        </w:numPr>
        <w:spacing w:after="0" w:line="240" w:lineRule="auto"/>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ПРОЄКТ ВИСОКОГО РИЗИКУ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Проєкти з високим ступенем ризику перевіряються на відповідність національним екологічним, соціальним та управлінським законам та правилам. Для цього відповідна національна документація слугує основою для проведення такого аналізу. Для більш складних проєктів з високим ступенем ризику, що перевищує порогові значення, визначені в Додатку С, проводиться додаткова перевірка на відповідність міжнародним стандартам. Для цього рівня ризику проводяться виїзди на об’єкт для ознайомлення з умовами, і, за необхідності, залучається допомога зовнішнього незалежного технічного консультанта, який затверджується посадовою особою з питань ESG.</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lastRenderedPageBreak/>
        <w:t>Опис проєкту та основні параметри ESG ризиків фіксуються у звіті «Форма опису та оцінки характеристик клієнта та проєкту (Додаток D). На основі зафіксованих висновків та відповідної національної документації проводиться поглиблена оцінка (комплексна перевірка) з метою розробки плану природоохоронних заходів. Цей план дій повинен бути узгоджений з клієнтом. Він має допомогти запобігти ризикам, які може спричинити проєкт, зменшити загальний ризик або забезпечити та компенсувати його до прийнятного рівня відповідно до політики Банку.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Звіт про комплексний екологічний аудит та узгоджений план природоохоронних заходів є частиною документації, що підлягає перевірці під час остаточного затвердження кредиту. За необхідності план дій включається до кредитної угоди з клієнтом.</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Після остаточного затвердження кредиту в кредитну угоду включаються відповідні екологічні та соціальні зобов’язання, а також робиться особлива згадка про обов’язок клієнта подавати звіт про дотримання вимог щодо інтеграції заходів з управління ризиками у свою діяльність та оперативно і вчасно (протягом трьох днів після виникнення) повідомляти Банк про серйозні аварії чи інциденти.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У процесі комплексної перевірки відповідна інформація щодо проекту з високим рівнем ризику надається зацікавленим сторонам на їх запит або на підставі Рамкової угоди до прийняття рішення про надання кредиту, а їх рекомендації, надані в узгоджені строки, беруться до уваги.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 всі проєкти з високим рівнем ризику необхідно повідомляти в головний офіс в Афінах до затвердження позики на місцевому рівні.</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Блок-схема оцінки ESG ризиків наведена в Додатку А. </w:t>
      </w:r>
    </w:p>
    <w:p w:rsidR="00506B88" w:rsidRDefault="00506B88">
      <w:pPr>
        <w:spacing w:after="0" w:line="240" w:lineRule="auto"/>
        <w:ind w:firstLine="567"/>
        <w:jc w:val="both"/>
        <w:rPr>
          <w:rFonts w:ascii="Times New Roman" w:eastAsia="Times New Roman" w:hAnsi="Times New Roman" w:cs="Times New Roman"/>
          <w:color w:val="002060"/>
          <w:sz w:val="24"/>
          <w:szCs w:val="24"/>
          <w:lang w:eastAsia="el-GR"/>
        </w:rPr>
      </w:pPr>
    </w:p>
    <w:p w:rsidR="00506B88" w:rsidRDefault="008F66B5">
      <w:pPr>
        <w:spacing w:after="0" w:line="240" w:lineRule="auto"/>
        <w:ind w:firstLine="567"/>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3.3. МОНІТОРИНГ ТА ВЕДЕННЯ ОБЛІКУ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здійснює щорічний моніторинг та оцінку екологічних, соціальних та управлінських показників окремих проєктів (у рамках щорічного перегляду) з метою забезпечення постійного дотримання чинних вимог. Подальший моніторинг може знадобитися для проєктів з необгрунтованими екологічними, соціальними та управлінськими ризиками та/або ризиками з високою ймовірністю виникнення.</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Для кожного проєкту ведеться облік супровідної документації екологічної, соціальної та управлінської експертизи. Сюди входить, наприклад, національна оцінка впливу на навколишнє середовище, початковий скринінг екологічних і соціальних аспектів, кредитна угода, а також звіти про здійснені виїзди на об'єкти. Усі документи зберігаються в кредитній справі відповідно до існуючих банківських процедур.</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Під час щорічної оцінки кредитного ліміту Банк запитує у клієнта звітність, передбачену кредитною угодою, та, за необхідності, здійснює візит на місце. У разі невідповідності погодженому плану дій та чинним екологічним, соціальним та управлінським вимогам, вживаються відповідні заходи.</w:t>
      </w:r>
    </w:p>
    <w:p w:rsidR="00506B88" w:rsidRDefault="00506B88">
      <w:pPr>
        <w:spacing w:after="0" w:line="240" w:lineRule="auto"/>
        <w:ind w:firstLine="567"/>
        <w:jc w:val="both"/>
        <w:rPr>
          <w:rFonts w:ascii="Times New Roman" w:eastAsia="Times New Roman" w:hAnsi="Times New Roman" w:cs="Times New Roman"/>
          <w:color w:val="002060"/>
          <w:sz w:val="24"/>
          <w:szCs w:val="24"/>
          <w:lang w:eastAsia="el-GR"/>
        </w:rPr>
      </w:pPr>
    </w:p>
    <w:p w:rsidR="00506B88" w:rsidRDefault="00B54E3A">
      <w:pPr>
        <w:spacing w:after="0" w:line="240" w:lineRule="auto"/>
        <w:ind w:firstLine="567"/>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3.4.</w:t>
      </w:r>
      <w:r w:rsidRPr="005E4A71">
        <w:rPr>
          <w:rFonts w:ascii="Times New Roman" w:eastAsia="Times New Roman" w:hAnsi="Times New Roman" w:cs="Times New Roman"/>
          <w:b/>
          <w:bCs/>
          <w:color w:val="002060"/>
          <w:sz w:val="24"/>
          <w:szCs w:val="24"/>
          <w:lang w:eastAsia="el-GR"/>
        </w:rPr>
        <w:t xml:space="preserve"> </w:t>
      </w:r>
      <w:r w:rsidR="008F66B5">
        <w:rPr>
          <w:rFonts w:ascii="Times New Roman" w:eastAsia="Times New Roman" w:hAnsi="Times New Roman" w:cs="Times New Roman"/>
          <w:b/>
          <w:bCs/>
          <w:color w:val="002060"/>
          <w:sz w:val="24"/>
          <w:szCs w:val="24"/>
          <w:lang w:eastAsia="el-GR"/>
        </w:rPr>
        <w:t>АНАЛІЗ ТА ПОСТІЙНЕ ВДОСКОНАЛЕННЯ СЕСУМ</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СЕСУМ щорічно переглядається, щоб забезпечити її актуальність та ефективність з плином часу і врахувати потреби Банку, що змінюються. Це передбачає виявлення потенційних труднощів, пов'язаних з операційними аспектами впровадження СЕСУМ, та внесення необхідних змін. Перегляд обсягу процедур СЕСУМ забезпечує правильне виявлення та ідентифікацію нових ESG ризиків проектів під час проведення комплексних перевірок та моніторингу. Крім того, СЕСУМ повинна оновлюватися з урахуванням змін у чинному національному та європейському законодавстві у сфері охорони навколишнього </w:t>
      </w:r>
      <w:r>
        <w:rPr>
          <w:rFonts w:ascii="Times New Roman" w:eastAsia="Times New Roman" w:hAnsi="Times New Roman" w:cs="Times New Roman"/>
          <w:bCs/>
          <w:color w:val="002060"/>
          <w:sz w:val="24"/>
          <w:szCs w:val="24"/>
          <w:lang w:eastAsia="el-GR"/>
        </w:rPr>
        <w:lastRenderedPageBreak/>
        <w:t>середовища, охорони здоров'я, праці та безпеки, соціальних гарантій, відсутність дискримінації за расовою та статевою приналежністю.</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Банк запровадив процес збору інформації про труднощі, що виникають у зв’язку із операційними аспектами впровадження СЕСУМ. </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Юридичний департамент Банку відстежує зміни у чинному національному законодавстві та нормативно-правових актах з питань охорони навколишнього середовища, охорони здоров'я та безпеки з метою забезпечення оновлення ковенант, що містяться у кредитних договорах, відповідно до поточних змін у законодавстві.</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Персонал Банку періодично інформується про будь-які зміни через відповідні внутрішні канали зв'язку.</w:t>
      </w:r>
    </w:p>
    <w:p w:rsidR="00506B88" w:rsidRDefault="00506B88">
      <w:pPr>
        <w:spacing w:after="0" w:line="240" w:lineRule="auto"/>
        <w:ind w:firstLine="567"/>
        <w:jc w:val="both"/>
        <w:rPr>
          <w:rFonts w:ascii="Times New Roman" w:eastAsia="Times New Roman" w:hAnsi="Times New Roman" w:cs="Times New Roman"/>
          <w:color w:val="002060"/>
          <w:sz w:val="24"/>
          <w:szCs w:val="24"/>
          <w:lang w:eastAsia="el-GR"/>
        </w:rPr>
      </w:pPr>
    </w:p>
    <w:p w:rsidR="00506B88" w:rsidRDefault="008F66B5">
      <w:pPr>
        <w:spacing w:after="0" w:line="240" w:lineRule="auto"/>
        <w:ind w:firstLine="567"/>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3.5. ВНУТРІШНЯ ТА ЗОВНІШНЯ ЗВІТНІСТЬ</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повідомляє зацікавленим сторонам  (МФК, ЄБРР, Fi</w:t>
      </w:r>
      <w:r>
        <w:rPr>
          <w:rFonts w:ascii="Times New Roman" w:eastAsia="Times New Roman" w:hAnsi="Times New Roman" w:cs="Times New Roman"/>
          <w:bCs/>
          <w:color w:val="002060"/>
          <w:sz w:val="24"/>
          <w:szCs w:val="24"/>
          <w:lang w:val="en-US" w:eastAsia="el-GR"/>
        </w:rPr>
        <w:t>M</w:t>
      </w:r>
      <w:r>
        <w:rPr>
          <w:rFonts w:ascii="Times New Roman" w:eastAsia="Times New Roman" w:hAnsi="Times New Roman" w:cs="Times New Roman"/>
          <w:bCs/>
          <w:color w:val="002060"/>
          <w:sz w:val="24"/>
          <w:szCs w:val="24"/>
          <w:lang w:eastAsia="el-GR"/>
        </w:rPr>
        <w:t>, ФРП та ін) про серйозні аварії або інциденти з його клієнтами  не пізніше ніж через три дні  після того, як йому стало відомо про такі аварії або інциденти. Банк розслідує, збирає та зберігає всю необхідну інформацію про позичальника, сумлінно застосовуючи основне банківське правило "Знай свого клієнта" (KYC).</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Як уже згадувалося, Банк також інформує за запитом або на основі Рамкової угоди, конкретні зацікавлені сторони щодо будь-яких проєктів з високим рівнем ризику (категорія А) до прийняття кредитного рішення (наприклад угода з МФК вимагає звітування щодо кожного проекту з високим рівнем ризику).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регулярно готує Річний звіт про екологічну та соціальну діяльність відповідно до стандартів звітності, передбачених двосторонніми договорами.</w:t>
      </w:r>
    </w:p>
    <w:p w:rsidR="00506B88" w:rsidRDefault="00506B88">
      <w:pPr>
        <w:spacing w:after="0" w:line="240" w:lineRule="auto"/>
        <w:ind w:firstLine="567"/>
        <w:jc w:val="both"/>
        <w:rPr>
          <w:rFonts w:ascii="Times New Roman" w:eastAsia="Times New Roman" w:hAnsi="Times New Roman" w:cs="Times New Roman"/>
          <w:color w:val="002060"/>
          <w:sz w:val="24"/>
          <w:szCs w:val="24"/>
          <w:lang w:eastAsia="el-GR"/>
        </w:rPr>
      </w:pPr>
    </w:p>
    <w:p w:rsidR="00506B88" w:rsidRDefault="008F66B5">
      <w:pPr>
        <w:spacing w:after="0" w:line="240" w:lineRule="auto"/>
        <w:ind w:firstLine="567"/>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3.6.</w:t>
      </w:r>
      <w:r>
        <w:rPr>
          <w:rFonts w:ascii="Times New Roman" w:eastAsia="Times New Roman" w:hAnsi="Times New Roman" w:cs="Times New Roman"/>
          <w:b/>
          <w:bCs/>
          <w:color w:val="002060"/>
          <w:sz w:val="24"/>
          <w:szCs w:val="24"/>
          <w:lang w:eastAsia="el-GR"/>
        </w:rPr>
        <w:tab/>
        <w:t xml:space="preserve"> МЕХАНІЗМ КОМУНІКАЦІЇ ТА ВИРІШЕННЯ ПИТАНЬ КЛІЄНТІВ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Банк через Управління з дистанційного обслуговування клієнтів та Комітет з розгляду звернень клієнтів розглядає та врегульовує будь-які скарги чи претензії клієнтів та інших зацікавлених сторін, а також через співробітників Департаменту з розвитку бізнесу надає інформацію та роз'яснення щодо банківських послуг, операцій, пропонованих продуктів або будь-яких інших питань, таких як ESG питання, пов'язаних з інвестиціями Банку. Банк створив механізм отримання та негайного розслідування таких скарг/звернень: за допомогою простої процедури клієнти або інші зацікавлені сторони можуть обрати один із численних засобів зв'язку (через звернення до Відділення, телефоном,  електронною поштою, чат-підтримкою та через сайт банку: </w:t>
      </w:r>
      <w:hyperlink r:id="rId13" w:history="1">
        <w:r>
          <w:rPr>
            <w:rFonts w:ascii="Times New Roman" w:eastAsia="Times New Roman" w:hAnsi="Times New Roman" w:cs="Times New Roman"/>
            <w:bCs/>
            <w:color w:val="002060"/>
            <w:sz w:val="24"/>
            <w:szCs w:val="24"/>
            <w:lang w:eastAsia="el-GR"/>
          </w:rPr>
          <w:t>https://www.piraeusbank.ua/ua/home/inappropriate-actions</w:t>
        </w:r>
      </w:hyperlink>
      <w:r>
        <w:rPr>
          <w:rFonts w:ascii="Times New Roman" w:eastAsia="Times New Roman" w:hAnsi="Times New Roman" w:cs="Times New Roman"/>
          <w:bCs/>
          <w:color w:val="002060"/>
          <w:sz w:val="24"/>
          <w:szCs w:val="24"/>
          <w:lang w:eastAsia="el-GR"/>
        </w:rPr>
        <w:t>) з метою отримання відповідних відповідей-роз'яснень.</w:t>
      </w:r>
    </w:p>
    <w:p w:rsidR="00506B88" w:rsidRDefault="00506B88">
      <w:pPr>
        <w:spacing w:after="0" w:line="240" w:lineRule="auto"/>
        <w:ind w:firstLine="567"/>
        <w:jc w:val="both"/>
        <w:rPr>
          <w:rFonts w:ascii="Times New Roman" w:eastAsia="Times New Roman" w:hAnsi="Times New Roman" w:cs="Times New Roman"/>
          <w:color w:val="002060"/>
          <w:sz w:val="24"/>
          <w:szCs w:val="24"/>
          <w:lang w:eastAsia="el-GR"/>
        </w:rPr>
      </w:pPr>
    </w:p>
    <w:p w:rsidR="00E734E3" w:rsidRDefault="008F66B5">
      <w:pPr>
        <w:spacing w:after="0" w:line="240" w:lineRule="auto"/>
        <w:ind w:firstLine="567"/>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3.7.</w:t>
      </w:r>
      <w:r>
        <w:rPr>
          <w:rFonts w:ascii="Times New Roman" w:eastAsia="Times New Roman" w:hAnsi="Times New Roman" w:cs="Times New Roman"/>
          <w:b/>
          <w:bCs/>
          <w:color w:val="002060"/>
          <w:sz w:val="24"/>
          <w:szCs w:val="24"/>
          <w:lang w:eastAsia="el-GR"/>
        </w:rPr>
        <w:tab/>
        <w:t>ПЛАН ГОТОВНОСТІ ТА РЕАГУВАННЯ НА НАДЗВИЧАЙНІ СИТУАЦІЇ</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має відповідні внутрі</w:t>
      </w:r>
      <w:r w:rsidR="00E734E3">
        <w:rPr>
          <w:rFonts w:ascii="Times New Roman" w:eastAsia="Times New Roman" w:hAnsi="Times New Roman" w:cs="Times New Roman"/>
          <w:bCs/>
          <w:color w:val="002060"/>
          <w:sz w:val="24"/>
          <w:szCs w:val="24"/>
          <w:lang w:eastAsia="el-GR"/>
        </w:rPr>
        <w:t xml:space="preserve">шні регулятивні документи, які </w:t>
      </w:r>
      <w:r>
        <w:rPr>
          <w:rFonts w:ascii="Times New Roman" w:eastAsia="Times New Roman" w:hAnsi="Times New Roman" w:cs="Times New Roman"/>
          <w:bCs/>
          <w:color w:val="002060"/>
          <w:sz w:val="24"/>
          <w:szCs w:val="24"/>
          <w:lang w:eastAsia="el-GR"/>
        </w:rPr>
        <w:t>оновлюються на щорічній основі</w:t>
      </w:r>
      <w:r w:rsidR="00E734E3" w:rsidRPr="00E734E3">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 xml:space="preserve"> або по мірі значних змін в діяльності Банку, а саме:</w:t>
      </w:r>
    </w:p>
    <w:p w:rsidR="00506B88" w:rsidRDefault="008F66B5" w:rsidP="00E734E3">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t>Політика управління безперервною діяльністю АТ «ПІРЕУС БАНК МКБ»;</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t>План забезпечення безперервної діяльності АТ «ПІРЕУС БАНК МКБ»;</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t>Процедура аналізу впливу негативних факторів на процеси АТ «ПІРЕУС БАНК МКБ»</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t>План відновлення діяльності АТ «ПІРЕУС БАНК МКБ».</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У цих документах детально описані ефективні плани готовності до надзвичайних ситуацій та реагування на них (наприклад: обов’язки, процедури та плани евакуації для кожного типу надзвичайних ситуацій, навчання тощо).</w:t>
      </w:r>
    </w:p>
    <w:p w:rsidR="00506B88" w:rsidRDefault="00506B88">
      <w:pPr>
        <w:spacing w:after="0" w:line="240" w:lineRule="auto"/>
        <w:ind w:firstLine="567"/>
        <w:jc w:val="both"/>
        <w:rPr>
          <w:rFonts w:ascii="Times New Roman" w:eastAsia="Times New Roman" w:hAnsi="Times New Roman" w:cs="Times New Roman"/>
          <w:bCs/>
          <w:i/>
          <w:color w:val="002060"/>
          <w:sz w:val="24"/>
          <w:szCs w:val="24"/>
          <w:lang w:eastAsia="el-GR"/>
        </w:rPr>
      </w:pPr>
    </w:p>
    <w:p w:rsidR="00506B88" w:rsidRDefault="008F66B5">
      <w:pPr>
        <w:pStyle w:val="Heading1"/>
        <w:ind w:left="567"/>
        <w:rPr>
          <w:rFonts w:ascii="Times New Roman" w:hAnsi="Times New Roman"/>
          <w:b/>
          <w:color w:val="002060"/>
        </w:rPr>
      </w:pPr>
      <w:bookmarkStart w:id="3" w:name="_Toc216290570"/>
      <w:r>
        <w:rPr>
          <w:rFonts w:ascii="Times New Roman" w:hAnsi="Times New Roman"/>
          <w:b/>
          <w:color w:val="002060"/>
        </w:rPr>
        <w:lastRenderedPageBreak/>
        <w:t>4. РОЛІ, ПОВНОВАЖЕННЯ ТА ВІДПОВІДАЛЬНІСТЬ</w:t>
      </w:r>
      <w:bookmarkEnd w:id="3"/>
      <w:r>
        <w:rPr>
          <w:rFonts w:ascii="Times New Roman" w:hAnsi="Times New Roman"/>
          <w:b/>
          <w:color w:val="002060"/>
        </w:rPr>
        <w:t xml:space="preserve"> </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4.1. CRO є уповноваженою (посадовою) особою Банку з питань СЕСУМ та здійснює нагляд за впровадженням СЕСУМ, забезпечуючи інтеграцію цих процедур в існуючі бізнес-процеси Банку для оцінки фінансових ризиків проєктів.</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Обов'язки посадової особи з питань СЕСУМ:</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Консолідація інформації та звітування щодо проектів у сфері ESG-ризиків і навчання, у рамках яких бюджетні питання затверджуються окремими власниками ініціатив відповідно до діючої в Банку процедури</w:t>
      </w:r>
      <w:r w:rsidR="00E734E3" w:rsidRP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Забезпечення координації та інтеграції процедур управління ризиками у внутрішній кредитний процес Банку</w:t>
      </w:r>
      <w:r w:rsidR="00E734E3" w:rsidRPr="00E734E3">
        <w:rPr>
          <w:rFonts w:ascii="Times New Roman" w:eastAsia="Times New Roman" w:hAnsi="Times New Roman" w:cs="Times New Roman"/>
          <w:bCs/>
          <w:color w:val="002060"/>
          <w:sz w:val="24"/>
          <w:szCs w:val="24"/>
          <w:lang w:val="ru-RU"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Повідомлення про будь-які серйозні проблеми в сфері ESG на вищому керівництву та забезпечення підтримки та затвердження питань управління ESG ризиками</w:t>
      </w:r>
      <w:r w:rsidR="00E734E3" w:rsidRP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Розгляд та затвердження річних звітів Банку про ESG</w:t>
      </w:r>
      <w:r w:rsidR="00E734E3" w:rsidRPr="00E734E3">
        <w:rPr>
          <w:rFonts w:ascii="Times New Roman" w:eastAsia="Times New Roman" w:hAnsi="Times New Roman" w:cs="Times New Roman"/>
          <w:bCs/>
          <w:color w:val="002060"/>
          <w:sz w:val="24"/>
          <w:szCs w:val="24"/>
          <w:lang w:val="ru-RU"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Інформування зацікавлених сторін на вимогу про проєкти з високим рівнем ризику до прийняття рішення про надання кредиту</w:t>
      </w:r>
      <w:r w:rsidR="00E734E3" w:rsidRPr="00E734E3">
        <w:rPr>
          <w:rFonts w:ascii="Times New Roman" w:eastAsia="Times New Roman" w:hAnsi="Times New Roman" w:cs="Times New Roman"/>
          <w:bCs/>
          <w:color w:val="002060"/>
          <w:sz w:val="24"/>
          <w:szCs w:val="24"/>
          <w:lang w:val="ru-RU"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Регулярне звітування на засіданні Робочої групи з питань ESG щодо ефективності СЕСУМ</w:t>
      </w:r>
      <w:r w:rsidR="00E734E3" w:rsidRPr="00E734E3">
        <w:rPr>
          <w:rFonts w:ascii="Times New Roman" w:eastAsia="Times New Roman" w:hAnsi="Times New Roman" w:cs="Times New Roman"/>
          <w:bCs/>
          <w:color w:val="002060"/>
          <w:sz w:val="24"/>
          <w:szCs w:val="24"/>
          <w:lang w:val="ru-RU" w:eastAsia="el-GR"/>
        </w:rPr>
        <w:t>.</w:t>
      </w:r>
      <w:r>
        <w:rPr>
          <w:rFonts w:ascii="Times New Roman" w:eastAsia="Times New Roman" w:hAnsi="Times New Roman" w:cs="Times New Roman"/>
          <w:bCs/>
          <w:color w:val="002060"/>
          <w:sz w:val="24"/>
          <w:szCs w:val="24"/>
          <w:lang w:eastAsia="el-GR"/>
        </w:rPr>
        <w:t xml:space="preserve">  </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Регулярний контроль відповідності портфельних проєктів застосовним вимогам на постійній основі</w:t>
      </w:r>
      <w:r w:rsidR="00E734E3" w:rsidRPr="00E734E3">
        <w:rPr>
          <w:rFonts w:ascii="Times New Roman" w:eastAsia="Times New Roman" w:hAnsi="Times New Roman" w:cs="Times New Roman"/>
          <w:bCs/>
          <w:color w:val="002060"/>
          <w:sz w:val="24"/>
          <w:szCs w:val="24"/>
          <w:lang w:val="ru-RU"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Перевірка, що ці процедури впроваджуються для кожного проєкту, і що записи екологічної експертизи (тобто оцінки та моніторингу) ведуться</w:t>
      </w:r>
      <w:r w:rsidR="00E734E3" w:rsidRPr="00E734E3">
        <w:rPr>
          <w:rFonts w:ascii="Times New Roman" w:eastAsia="Times New Roman" w:hAnsi="Times New Roman" w:cs="Times New Roman"/>
          <w:bCs/>
          <w:color w:val="002060"/>
          <w:sz w:val="24"/>
          <w:szCs w:val="24"/>
          <w:lang w:val="ru-RU"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Ведення реєстру кваліфікованих консультантів, які можуть бути залучені для надання допомоги в проведенні екологічної експертизи</w:t>
      </w:r>
      <w:r w:rsidR="00E734E3" w:rsidRPr="00E734E3">
        <w:rPr>
          <w:rFonts w:ascii="Times New Roman" w:eastAsia="Times New Roman" w:hAnsi="Times New Roman" w:cs="Times New Roman"/>
          <w:bCs/>
          <w:color w:val="002060"/>
          <w:sz w:val="24"/>
          <w:szCs w:val="24"/>
          <w:lang w:val="ru-RU" w:eastAsia="el-GR"/>
        </w:rPr>
        <w:t>.</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У виконанні обов'язків посадовій особі з питань СЕСУМ може допомагати один або декілька ESG координаторів (ще не призначених).</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4.2. До обов'язків Спеціаліста з питань зеленого банкінгу (може бути залучений Банком на умовах аутсорсингу) входить</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4"/>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Проведення комплексного аналізу ризиків у сфері охорони довкілля та безпеки проєкту у випадках невиправданого ризику для проєктів середнього та високого ризику.</w:t>
      </w:r>
    </w:p>
    <w:p w:rsidR="00506B88" w:rsidRDefault="008F66B5" w:rsidP="00E734E3">
      <w:pPr>
        <w:pStyle w:val="ListParagraph"/>
        <w:numPr>
          <w:ilvl w:val="0"/>
          <w:numId w:val="14"/>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Для складних проєктів або проєктів, які перевищують порогові значення, визначені в Додатку C:</w:t>
      </w:r>
    </w:p>
    <w:p w:rsidR="00506B88" w:rsidRDefault="008F66B5" w:rsidP="00E734E3">
      <w:pPr>
        <w:pStyle w:val="ListParagraph"/>
        <w:numPr>
          <w:ilvl w:val="0"/>
          <w:numId w:val="15"/>
        </w:numPr>
        <w:spacing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Оцінка всієї необхідної документації з ESG</w:t>
      </w:r>
      <w:r w:rsidR="008E5037">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5"/>
        </w:numPr>
        <w:spacing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Проведення комплексної перевірки ESG ризиків</w:t>
      </w:r>
      <w:r w:rsidR="008E5037">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 xml:space="preserve"> </w:t>
      </w:r>
    </w:p>
    <w:p w:rsidR="00506B88" w:rsidRDefault="008F66B5" w:rsidP="00E734E3">
      <w:pPr>
        <w:pStyle w:val="ListParagraph"/>
        <w:numPr>
          <w:ilvl w:val="0"/>
          <w:numId w:val="15"/>
        </w:numPr>
        <w:spacing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Надання звіту про комплексну перевірку в процесі затвердження кредиту</w:t>
      </w:r>
      <w:r w:rsidR="008E5037">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6"/>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Надання пропозицій щодо відповідних екологічних запевнень, гарантій та зобов'язань для проектів, де необхідна участь такого спеціаліста (необґрунтований ризик у проектах високого / середнього ризику).</w:t>
      </w:r>
    </w:p>
    <w:p w:rsidR="00506B88" w:rsidRDefault="008F66B5" w:rsidP="00E734E3">
      <w:pPr>
        <w:pStyle w:val="ListParagraph"/>
        <w:numPr>
          <w:ilvl w:val="0"/>
          <w:numId w:val="16"/>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Підготовка необхідних навчальних матеріалів та проведення навчальних програм</w:t>
      </w:r>
    </w:p>
    <w:p w:rsidR="00506B88" w:rsidRDefault="008F66B5" w:rsidP="00E734E3">
      <w:pPr>
        <w:pStyle w:val="ListParagraph"/>
        <w:numPr>
          <w:ilvl w:val="0"/>
          <w:numId w:val="16"/>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Забезпечення технічної підтримки залученому персоналу.</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4.3. Відповідальність бізнес-підрозділів (наприклад, менеджерів з управління кредитним портфелем, фахівців з обслуговування клієнтів) полягає в наступному:</w:t>
      </w:r>
    </w:p>
    <w:p w:rsidR="00506B88" w:rsidRDefault="008F66B5" w:rsidP="00E734E3">
      <w:pPr>
        <w:pStyle w:val="ListParagraph"/>
        <w:numPr>
          <w:ilvl w:val="0"/>
          <w:numId w:val="17"/>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Дотримання процедур СЕСУМ на рівні транзакцій</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7"/>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Перевірка проєкту на відповідність Переліку винятків</w:t>
      </w:r>
      <w:r w:rsidR="00E734E3">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 xml:space="preserve"> </w:t>
      </w:r>
    </w:p>
    <w:p w:rsidR="00506B88" w:rsidRDefault="008F66B5" w:rsidP="00E734E3">
      <w:pPr>
        <w:pStyle w:val="ListParagraph"/>
        <w:numPr>
          <w:ilvl w:val="0"/>
          <w:numId w:val="17"/>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Збір усієї необхідної документації</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7"/>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lastRenderedPageBreak/>
        <w:t>Присвоєння проекту рівня ESG ризику</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7"/>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Обговорення, переговори та узгодження з клієнтом можливих заходів з пом'якшення ESG ризиків, які мають бути включені до плану дій та кредитної угоди.</w:t>
      </w:r>
    </w:p>
    <w:p w:rsidR="00506B88" w:rsidRPr="00E30291" w:rsidRDefault="008F66B5">
      <w:pPr>
        <w:spacing w:line="240" w:lineRule="auto"/>
        <w:ind w:firstLine="567"/>
        <w:jc w:val="both"/>
        <w:rPr>
          <w:rFonts w:ascii="Times New Roman" w:eastAsia="Times New Roman" w:hAnsi="Times New Roman" w:cs="Times New Roman"/>
          <w:bCs/>
          <w:color w:val="002060"/>
          <w:sz w:val="24"/>
          <w:szCs w:val="24"/>
          <w:lang w:val="ru-RU" w:eastAsia="el-GR"/>
        </w:rPr>
      </w:pPr>
      <w:r>
        <w:rPr>
          <w:rFonts w:ascii="Times New Roman" w:eastAsia="Times New Roman" w:hAnsi="Times New Roman" w:cs="Times New Roman"/>
          <w:bCs/>
          <w:color w:val="002060"/>
          <w:sz w:val="24"/>
          <w:szCs w:val="24"/>
          <w:lang w:eastAsia="el-GR"/>
        </w:rPr>
        <w:t>4.4. В обов'язки співробітника Управління кредитного андерайтингу входить</w:t>
      </w:r>
      <w:r w:rsidR="00E30291" w:rsidRPr="00E30291">
        <w:rPr>
          <w:rFonts w:ascii="Times New Roman" w:eastAsia="Times New Roman" w:hAnsi="Times New Roman" w:cs="Times New Roman"/>
          <w:bCs/>
          <w:color w:val="002060"/>
          <w:sz w:val="24"/>
          <w:szCs w:val="24"/>
          <w:lang w:val="ru-RU" w:eastAsia="el-GR"/>
        </w:rPr>
        <w:t>:</w:t>
      </w:r>
    </w:p>
    <w:p w:rsidR="00506B88" w:rsidRDefault="008F66B5" w:rsidP="00E734E3">
      <w:pPr>
        <w:pStyle w:val="ListParagraph"/>
        <w:numPr>
          <w:ilvl w:val="0"/>
          <w:numId w:val="18"/>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Проконтролювати, щоб процедури, описані в Кредитній політиці, що відображають впровадження СЕСУМ, застосовувалися до кожного проекту</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8"/>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Оцінити та включити в кредитну оцінку пропозиції, надані Спеціалістом із зеленого банкінгу.</w:t>
      </w:r>
    </w:p>
    <w:p w:rsidR="00506B88" w:rsidRDefault="008F66B5" w:rsidP="00E734E3">
      <w:pPr>
        <w:pStyle w:val="ListParagraph"/>
        <w:numPr>
          <w:ilvl w:val="0"/>
          <w:numId w:val="18"/>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За необхідності застосовувати ковенанти, відповідні комісії та додаткове покриття  під час процесу затвердження кредиту.</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4.5. Відповідальність Управління ризик-менеджменту:</w:t>
      </w:r>
    </w:p>
    <w:p w:rsidR="00506B88" w:rsidRDefault="008F66B5" w:rsidP="00E734E3">
      <w:pPr>
        <w:pStyle w:val="ListParagraph"/>
        <w:numPr>
          <w:ilvl w:val="0"/>
          <w:numId w:val="19"/>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Впровадження та перегляд ESG політики Банку</w:t>
      </w:r>
      <w:r w:rsidR="00E734E3">
        <w:rPr>
          <w:rFonts w:ascii="Times New Roman" w:eastAsia="Times New Roman" w:hAnsi="Times New Roman" w:cs="Times New Roman"/>
          <w:bCs/>
          <w:color w:val="002060"/>
          <w:sz w:val="24"/>
          <w:szCs w:val="24"/>
          <w:lang w:eastAsia="el-GR"/>
        </w:rPr>
        <w:t>.</w:t>
      </w:r>
    </w:p>
    <w:p w:rsidR="00506B88" w:rsidRPr="00E734E3" w:rsidRDefault="008F66B5" w:rsidP="00E734E3">
      <w:pPr>
        <w:pStyle w:val="ListParagraph"/>
        <w:numPr>
          <w:ilvl w:val="0"/>
          <w:numId w:val="19"/>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Оцінка ризик-апетиту ESG ризиків у складі Стратегії управління ризиками і капіталом</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9"/>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Збір необхідних навчальних матеріалів та проведення навчальних програм за потреби</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9"/>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Збір даних та подання Річних звітів про ESG</w:t>
      </w:r>
      <w:r w:rsidR="00E734E3">
        <w:rPr>
          <w:rFonts w:ascii="Times New Roman" w:eastAsia="Times New Roman" w:hAnsi="Times New Roman" w:cs="Times New Roman"/>
          <w:bCs/>
          <w:color w:val="002060"/>
          <w:sz w:val="24"/>
          <w:szCs w:val="24"/>
          <w:lang w:eastAsia="el-GR"/>
        </w:rPr>
        <w:t>.</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4.6. Обов'язки Юридичного департаменту:</w:t>
      </w:r>
    </w:p>
    <w:p w:rsidR="00506B88" w:rsidRDefault="008F66B5" w:rsidP="00E734E3">
      <w:pPr>
        <w:pStyle w:val="ListParagraph"/>
        <w:numPr>
          <w:ilvl w:val="0"/>
          <w:numId w:val="20"/>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Надання рекомендацій щодо</w:t>
      </w:r>
      <w:r w:rsidR="00E734E3">
        <w:rPr>
          <w:rFonts w:ascii="Times New Roman" w:eastAsia="Times New Roman" w:hAnsi="Times New Roman" w:cs="Times New Roman"/>
          <w:bCs/>
          <w:color w:val="002060"/>
          <w:sz w:val="24"/>
          <w:szCs w:val="24"/>
          <w:lang w:eastAsia="el-GR"/>
        </w:rPr>
        <w:t xml:space="preserve"> </w:t>
      </w:r>
      <w:r>
        <w:rPr>
          <w:rFonts w:ascii="Times New Roman" w:eastAsia="Times New Roman" w:hAnsi="Times New Roman" w:cs="Times New Roman"/>
          <w:bCs/>
          <w:color w:val="002060"/>
          <w:sz w:val="24"/>
          <w:szCs w:val="24"/>
          <w:lang w:eastAsia="el-GR"/>
        </w:rPr>
        <w:t>внесення змін до типових договорів з кредитування</w:t>
      </w:r>
      <w:r w:rsidR="00E734E3">
        <w:rPr>
          <w:rFonts w:ascii="Times New Roman" w:eastAsia="Times New Roman" w:hAnsi="Times New Roman" w:cs="Times New Roman"/>
          <w:bCs/>
          <w:color w:val="002060"/>
          <w:sz w:val="24"/>
          <w:szCs w:val="24"/>
          <w:lang w:eastAsia="el-GR"/>
        </w:rPr>
        <w:t xml:space="preserve">, </w:t>
      </w:r>
      <w:r>
        <w:rPr>
          <w:rFonts w:ascii="Times New Roman" w:eastAsia="Times New Roman" w:hAnsi="Times New Roman" w:cs="Times New Roman"/>
          <w:bCs/>
          <w:color w:val="002060"/>
          <w:sz w:val="24"/>
          <w:szCs w:val="24"/>
          <w:lang w:eastAsia="el-GR"/>
        </w:rPr>
        <w:t>щоб вони відповідали чинному національному законодавству у сфері охорони довкілля, здоров'я та безпеки.</w:t>
      </w:r>
    </w:p>
    <w:p w:rsidR="00506B88" w:rsidRDefault="008F66B5" w:rsidP="00E734E3">
      <w:pPr>
        <w:pStyle w:val="ListParagraph"/>
        <w:numPr>
          <w:ilvl w:val="0"/>
          <w:numId w:val="20"/>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Надання консультацій щодо включення до типових кредитних договорів конкретних умов щодо зобов'язань клієнта, які випливають з процедур СЕСУМ.</w:t>
      </w:r>
    </w:p>
    <w:p w:rsidR="00506B88" w:rsidRDefault="008F66B5" w:rsidP="00E734E3">
      <w:pPr>
        <w:pStyle w:val="ListParagraph"/>
        <w:numPr>
          <w:ilvl w:val="0"/>
          <w:numId w:val="20"/>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Консультування щодо того, чи є недотримання клієнтом ESG положень порушенням договору та чи вважається це випадком дефолту відповідно до умов кредитного договору.</w:t>
      </w:r>
    </w:p>
    <w:p w:rsidR="00506B88" w:rsidRDefault="008F66B5" w:rsidP="00E734E3">
      <w:pPr>
        <w:pStyle w:val="ListParagraph"/>
        <w:numPr>
          <w:ilvl w:val="0"/>
          <w:numId w:val="20"/>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Надання консультацій з конкретних питань екологічного права.</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4.7. Обов’язки Управління з дистанційного обслуговування клієнтів:</w:t>
      </w:r>
    </w:p>
    <w:p w:rsidR="00506B88" w:rsidRDefault="008F66B5" w:rsidP="00E734E3">
      <w:pPr>
        <w:pStyle w:val="ListParagraph"/>
        <w:numPr>
          <w:ilvl w:val="0"/>
          <w:numId w:val="21"/>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Отримання запитів від клієнтів та зацікавлених сторін, надання роз’яснень та консультацій.</w:t>
      </w:r>
    </w:p>
    <w:p w:rsidR="00506B88" w:rsidRDefault="008F66B5">
      <w:pPr>
        <w:pStyle w:val="Heading1"/>
        <w:ind w:left="567"/>
        <w:rPr>
          <w:rFonts w:ascii="Times New Roman" w:hAnsi="Times New Roman"/>
          <w:b/>
          <w:color w:val="002060"/>
          <w:szCs w:val="24"/>
        </w:rPr>
      </w:pPr>
      <w:bookmarkStart w:id="4" w:name="_Toc216290571"/>
      <w:r>
        <w:rPr>
          <w:rFonts w:ascii="Times New Roman" w:hAnsi="Times New Roman"/>
          <w:b/>
          <w:color w:val="002060"/>
          <w:szCs w:val="24"/>
        </w:rPr>
        <w:t xml:space="preserve">5. </w:t>
      </w:r>
      <w:r>
        <w:rPr>
          <w:rStyle w:val="Heading1Char"/>
          <w:rFonts w:ascii="Times New Roman" w:hAnsi="Times New Roman"/>
          <w:b/>
          <w:color w:val="002060"/>
        </w:rPr>
        <w:t>СИСТЕМА ВНУТРІШНЬОГО КОНТРОЛЮ</w:t>
      </w:r>
      <w:bookmarkEnd w:id="4"/>
      <w:r>
        <w:rPr>
          <w:rFonts w:ascii="Times New Roman" w:hAnsi="Times New Roman"/>
          <w:b/>
          <w:color w:val="002060"/>
          <w:szCs w:val="24"/>
        </w:rPr>
        <w:t xml:space="preserve"> </w:t>
      </w:r>
    </w:p>
    <w:p w:rsidR="00506B88" w:rsidRDefault="008F66B5">
      <w:pPr>
        <w:pStyle w:val="ListParagraph"/>
        <w:tabs>
          <w:tab w:val="left" w:pos="142"/>
          <w:tab w:val="left" w:pos="709"/>
          <w:tab w:val="left" w:pos="851"/>
          <w:tab w:val="left" w:pos="993"/>
        </w:tabs>
        <w:spacing w:after="0" w:line="240" w:lineRule="auto"/>
        <w:ind w:left="0" w:firstLine="567"/>
        <w:jc w:val="both"/>
        <w:rPr>
          <w:rFonts w:ascii="Times New Roman" w:hAnsi="Times New Roman"/>
          <w:color w:val="002060"/>
          <w:sz w:val="24"/>
          <w:szCs w:val="24"/>
        </w:rPr>
      </w:pPr>
      <w:r>
        <w:rPr>
          <w:rFonts w:ascii="Times New Roman" w:hAnsi="Times New Roman"/>
          <w:color w:val="002060"/>
          <w:sz w:val="24"/>
          <w:szCs w:val="24"/>
        </w:rPr>
        <w:t>5.1. Контроль за дотриманням вимог цієї Політики покладається на Управління ризик-менеджменту</w:t>
      </w:r>
    </w:p>
    <w:p w:rsidR="00506B88" w:rsidRDefault="008F66B5">
      <w:pPr>
        <w:pStyle w:val="ListParagraph"/>
        <w:tabs>
          <w:tab w:val="left" w:pos="142"/>
          <w:tab w:val="left" w:pos="709"/>
          <w:tab w:val="left" w:pos="851"/>
          <w:tab w:val="left" w:pos="993"/>
        </w:tabs>
        <w:spacing w:after="0" w:line="240" w:lineRule="auto"/>
        <w:ind w:left="0" w:firstLine="567"/>
        <w:jc w:val="both"/>
        <w:rPr>
          <w:rFonts w:ascii="Times New Roman" w:hAnsi="Times New Roman"/>
          <w:color w:val="002060"/>
          <w:sz w:val="24"/>
          <w:szCs w:val="24"/>
        </w:rPr>
      </w:pPr>
      <w:r>
        <w:rPr>
          <w:rFonts w:ascii="Times New Roman" w:hAnsi="Times New Roman"/>
          <w:color w:val="002060"/>
          <w:sz w:val="24"/>
          <w:szCs w:val="24"/>
        </w:rPr>
        <w:t>5.2. Працівники підрозділів Банку, що беруть  участь у розробці та узгодженні цієї Політики несуть відповідальність за її зміст виключно в межах своєї компетенції та функціональних обов’язків.</w:t>
      </w:r>
    </w:p>
    <w:p w:rsidR="00506B88" w:rsidRDefault="008F66B5">
      <w:pPr>
        <w:pStyle w:val="Heading1"/>
        <w:spacing w:before="120"/>
        <w:ind w:left="567"/>
        <w:rPr>
          <w:rFonts w:ascii="Times New Roman" w:hAnsi="Times New Roman"/>
          <w:b/>
          <w:color w:val="002060"/>
        </w:rPr>
      </w:pPr>
      <w:bookmarkStart w:id="5" w:name="_Toc216290572"/>
      <w:r>
        <w:rPr>
          <w:rFonts w:ascii="Times New Roman" w:hAnsi="Times New Roman"/>
          <w:b/>
          <w:color w:val="002060"/>
        </w:rPr>
        <w:t>6. ПРИКІНЦЕВІ ПОЛОЖЕННЯ</w:t>
      </w:r>
      <w:bookmarkEnd w:id="5"/>
      <w:r>
        <w:rPr>
          <w:rFonts w:ascii="Times New Roman" w:hAnsi="Times New Roman"/>
          <w:b/>
          <w:color w:val="002060"/>
        </w:rPr>
        <w:t xml:space="preserve"> </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6.1. Політика підлягає перегляду та актуалізації </w:t>
      </w:r>
      <w:r>
        <w:rPr>
          <w:rFonts w:ascii="Times New Roman" w:eastAsia="Times New Roman" w:hAnsi="Times New Roman" w:cs="Times New Roman"/>
          <w:b/>
          <w:bCs/>
          <w:color w:val="002060"/>
          <w:sz w:val="24"/>
          <w:szCs w:val="24"/>
          <w:lang w:eastAsia="el-GR"/>
        </w:rPr>
        <w:t>не рідше</w:t>
      </w:r>
      <w:r>
        <w:rPr>
          <w:rFonts w:ascii="Times New Roman" w:eastAsia="Times New Roman" w:hAnsi="Times New Roman" w:cs="Times New Roman"/>
          <w:bCs/>
          <w:color w:val="002060"/>
          <w:sz w:val="24"/>
          <w:szCs w:val="24"/>
          <w:lang w:eastAsia="el-GR"/>
        </w:rPr>
        <w:t xml:space="preserve"> </w:t>
      </w:r>
      <w:r>
        <w:rPr>
          <w:rFonts w:ascii="Times New Roman" w:eastAsia="Times New Roman" w:hAnsi="Times New Roman" w:cs="Times New Roman"/>
          <w:b/>
          <w:bCs/>
          <w:color w:val="002060"/>
          <w:sz w:val="24"/>
          <w:szCs w:val="24"/>
          <w:lang w:eastAsia="el-GR"/>
        </w:rPr>
        <w:t xml:space="preserve">1 разу на рік </w:t>
      </w:r>
      <w:r>
        <w:rPr>
          <w:rFonts w:ascii="Times New Roman" w:eastAsia="Times New Roman" w:hAnsi="Times New Roman" w:cs="Times New Roman"/>
          <w:bCs/>
          <w:color w:val="002060"/>
          <w:sz w:val="24"/>
          <w:szCs w:val="24"/>
          <w:lang w:eastAsia="el-GR"/>
        </w:rPr>
        <w:t xml:space="preserve">відповідно до вимог Групи, або частіше - у разі змін в законодавстві України, нормативно-правових актах НБУ, організаційній структурі Банка та/або внутрішніх розпорядчих і нормативно-регулятивних документах Банку. </w:t>
      </w:r>
    </w:p>
    <w:p w:rsidR="00506B88" w:rsidRDefault="008F66B5">
      <w:pPr>
        <w:spacing w:after="0" w:line="240" w:lineRule="auto"/>
        <w:ind w:firstLine="567"/>
        <w:jc w:val="both"/>
        <w:rPr>
          <w:rFonts w:ascii="Times New Roman" w:eastAsia="Times New Roman" w:hAnsi="Times New Roman" w:cs="Times New Roman"/>
          <w:bCs/>
          <w:i/>
          <w:color w:val="002060"/>
          <w:sz w:val="24"/>
          <w:szCs w:val="24"/>
          <w:lang w:eastAsia="el-GR"/>
        </w:rPr>
      </w:pPr>
      <w:r>
        <w:rPr>
          <w:rFonts w:ascii="Times New Roman" w:eastAsia="Times New Roman" w:hAnsi="Times New Roman" w:cs="Times New Roman"/>
          <w:bCs/>
          <w:color w:val="002060"/>
          <w:sz w:val="24"/>
          <w:szCs w:val="24"/>
          <w:lang w:eastAsia="el-GR"/>
        </w:rPr>
        <w:t>6.2. Відповідальним за актуалізацію та підтримання Політики в актуальному стані є  Управління ризик-менеджменту</w:t>
      </w:r>
      <w:r>
        <w:rPr>
          <w:rFonts w:ascii="Times New Roman" w:eastAsia="Times New Roman" w:hAnsi="Times New Roman" w:cs="Times New Roman"/>
          <w:bCs/>
          <w:i/>
          <w:color w:val="002060"/>
          <w:sz w:val="24"/>
          <w:szCs w:val="24"/>
          <w:lang w:eastAsia="el-GR"/>
        </w:rPr>
        <w:t xml:space="preserve">. </w:t>
      </w:r>
    </w:p>
    <w:p w:rsidR="00506B88" w:rsidRDefault="008F66B5">
      <w:pPr>
        <w:pStyle w:val="ListParagraph"/>
        <w:tabs>
          <w:tab w:val="left" w:pos="142"/>
          <w:tab w:val="left" w:pos="709"/>
          <w:tab w:val="left" w:pos="851"/>
          <w:tab w:val="left" w:pos="993"/>
        </w:tabs>
        <w:spacing w:after="0" w:line="240" w:lineRule="auto"/>
        <w:ind w:left="0" w:firstLine="567"/>
        <w:jc w:val="both"/>
        <w:rPr>
          <w:rFonts w:ascii="Times New Roman" w:hAnsi="Times New Roman"/>
          <w:b/>
          <w:bCs/>
          <w:color w:val="002060"/>
          <w:sz w:val="24"/>
          <w:szCs w:val="24"/>
        </w:rPr>
      </w:pPr>
      <w:r>
        <w:rPr>
          <w:rFonts w:ascii="Times New Roman" w:hAnsi="Times New Roman"/>
          <w:color w:val="002060"/>
          <w:sz w:val="24"/>
          <w:szCs w:val="24"/>
        </w:rPr>
        <w:lastRenderedPageBreak/>
        <w:t>6.3. Зміни та доповнення до цієї Політики</w:t>
      </w:r>
      <w:r>
        <w:rPr>
          <w:rFonts w:ascii="Times New Roman" w:eastAsia="Times New Roman" w:hAnsi="Times New Roman" w:cs="Times New Roman"/>
          <w:bCs/>
          <w:i/>
          <w:color w:val="002060"/>
          <w:sz w:val="24"/>
          <w:szCs w:val="24"/>
          <w:lang w:eastAsia="el-GR"/>
        </w:rPr>
        <w:t xml:space="preserve"> </w:t>
      </w:r>
      <w:r>
        <w:rPr>
          <w:rFonts w:ascii="Times New Roman" w:hAnsi="Times New Roman"/>
          <w:color w:val="002060"/>
          <w:sz w:val="24"/>
          <w:szCs w:val="24"/>
        </w:rPr>
        <w:t xml:space="preserve">затверджуються рішенням Наглядової Ради та оформлюються шляхом його викладення в новій редакції. Затвердження нової редакції Політики автоматично призводить до припинення дії його попередньої редакції. Оновлена Політика розміщується на </w:t>
      </w:r>
      <w:r>
        <w:rPr>
          <w:rFonts w:ascii="Times New Roman" w:hAnsi="Times New Roman"/>
          <w:bCs/>
          <w:color w:val="002060"/>
          <w:sz w:val="24"/>
          <w:szCs w:val="24"/>
        </w:rPr>
        <w:t>веб-порталі Банку.</w:t>
      </w:r>
      <w:r>
        <w:rPr>
          <w:rFonts w:ascii="Times New Roman" w:hAnsi="Times New Roman"/>
          <w:b/>
          <w:bCs/>
          <w:color w:val="002060"/>
          <w:sz w:val="24"/>
          <w:szCs w:val="24"/>
        </w:rPr>
        <w:t xml:space="preserve"> </w:t>
      </w:r>
    </w:p>
    <w:p w:rsidR="00506B88" w:rsidRDefault="008F66B5">
      <w:pPr>
        <w:pStyle w:val="ListParagraph"/>
        <w:tabs>
          <w:tab w:val="left" w:pos="142"/>
          <w:tab w:val="left" w:pos="709"/>
          <w:tab w:val="left" w:pos="851"/>
          <w:tab w:val="left" w:pos="993"/>
        </w:tabs>
        <w:spacing w:after="0" w:line="240" w:lineRule="auto"/>
        <w:ind w:left="0" w:firstLine="567"/>
        <w:jc w:val="both"/>
        <w:rPr>
          <w:rFonts w:ascii="Times New Roman" w:hAnsi="Times New Roman"/>
          <w:bCs/>
          <w:color w:val="002060"/>
          <w:sz w:val="24"/>
          <w:szCs w:val="24"/>
        </w:rPr>
      </w:pPr>
      <w:r>
        <w:rPr>
          <w:rFonts w:ascii="Times New Roman" w:hAnsi="Times New Roman"/>
          <w:bCs/>
          <w:color w:val="002060"/>
          <w:sz w:val="24"/>
          <w:szCs w:val="24"/>
        </w:rPr>
        <w:t xml:space="preserve">6.4. </w:t>
      </w:r>
      <w:r>
        <w:rPr>
          <w:rFonts w:ascii="Times New Roman" w:hAnsi="Times New Roman"/>
          <w:color w:val="002060"/>
          <w:sz w:val="24"/>
          <w:szCs w:val="24"/>
        </w:rPr>
        <w:t xml:space="preserve">З дати набрання чинності цієї версії Політики, вважається такою, що втратила чинність: </w:t>
      </w:r>
      <w:r>
        <w:rPr>
          <w:rFonts w:ascii="Times New Roman" w:hAnsi="Times New Roman"/>
          <w:bCs/>
          <w:color w:val="002060"/>
          <w:sz w:val="24"/>
          <w:szCs w:val="24"/>
        </w:rPr>
        <w:t>Політика управління екологічними, соціальними та управлінськими ризиками в АТ «ПІРЕУС БАНК МКБ» від 25.09.2024.</w:t>
      </w:r>
    </w:p>
    <w:p w:rsidR="00506B88" w:rsidRDefault="008F66B5">
      <w:pPr>
        <w:pStyle w:val="Heading1"/>
        <w:spacing w:before="120"/>
        <w:ind w:left="567"/>
        <w:rPr>
          <w:rFonts w:ascii="Times New Roman" w:hAnsi="Times New Roman"/>
          <w:b/>
          <w:color w:val="002060"/>
        </w:rPr>
      </w:pPr>
      <w:bookmarkStart w:id="6" w:name="_Toc216290573"/>
      <w:r>
        <w:rPr>
          <w:rFonts w:ascii="Times New Roman" w:hAnsi="Times New Roman"/>
          <w:b/>
          <w:color w:val="002060"/>
        </w:rPr>
        <w:t>7. ПЕРЕЛІК ВЗАЄМОПОВ`ЯЗАНИХ ДОКУМЕНТІВ</w:t>
      </w:r>
      <w:bookmarkEnd w:id="6"/>
      <w:r>
        <w:rPr>
          <w:rFonts w:ascii="Times New Roman" w:hAnsi="Times New Roman"/>
          <w:b/>
          <w:color w:val="002060"/>
        </w:rPr>
        <w:t xml:space="preserve"> </w:t>
      </w:r>
    </w:p>
    <w:p w:rsidR="00506B88" w:rsidRDefault="008F66B5" w:rsidP="005E4A71">
      <w:pPr>
        <w:pStyle w:val="ListParagraph"/>
        <w:numPr>
          <w:ilvl w:val="0"/>
          <w:numId w:val="27"/>
        </w:numPr>
        <w:spacing w:before="120" w:line="240" w:lineRule="auto"/>
        <w:jc w:val="both"/>
      </w:pPr>
      <w:r>
        <w:rPr>
          <w:rFonts w:ascii="Times New Roman" w:eastAsia="Times New Roman" w:hAnsi="Times New Roman" w:cs="Times New Roman"/>
          <w:bCs/>
          <w:color w:val="002060"/>
          <w:sz w:val="24"/>
          <w:szCs w:val="24"/>
          <w:lang w:eastAsia="el-GR"/>
        </w:rPr>
        <w:t>Стратегія управління ризиками та капіталом АТ «ПІРЕУС БАНК МКБ».</w:t>
      </w:r>
    </w:p>
    <w:p w:rsidR="00506B88" w:rsidRDefault="008F66B5" w:rsidP="005E4A71">
      <w:pPr>
        <w:pStyle w:val="ListParagraph"/>
        <w:numPr>
          <w:ilvl w:val="0"/>
          <w:numId w:val="27"/>
        </w:numPr>
        <w:spacing w:before="240" w:after="0" w:line="240" w:lineRule="auto"/>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Політика управління ризиками АТ «ПІРЕУС БАНК МКБ».</w:t>
      </w:r>
    </w:p>
    <w:p w:rsidR="00506B88" w:rsidRDefault="008F66B5" w:rsidP="005E4A71">
      <w:pPr>
        <w:pStyle w:val="ListParagraph"/>
        <w:numPr>
          <w:ilvl w:val="0"/>
          <w:numId w:val="27"/>
        </w:numPr>
        <w:spacing w:before="240" w:after="0" w:line="240" w:lineRule="auto"/>
        <w:jc w:val="both"/>
      </w:pPr>
      <w:r>
        <w:rPr>
          <w:rFonts w:ascii="Times New Roman" w:eastAsia="Times New Roman" w:hAnsi="Times New Roman" w:cs="Times New Roman"/>
          <w:bCs/>
          <w:color w:val="002060"/>
          <w:sz w:val="24"/>
          <w:szCs w:val="24"/>
          <w:lang w:eastAsia="el-GR"/>
        </w:rPr>
        <w:t>Кредитна політика для клієнтів МСБ та Корпоративного бізнесу</w:t>
      </w:r>
      <w:r w:rsidR="002A58F4" w:rsidRPr="002A58F4">
        <w:rPr>
          <w:rFonts w:ascii="Times New Roman" w:eastAsia="Times New Roman" w:hAnsi="Times New Roman" w:cs="Times New Roman"/>
          <w:bCs/>
          <w:color w:val="002060"/>
          <w:sz w:val="24"/>
          <w:szCs w:val="24"/>
          <w:lang w:eastAsia="el-GR"/>
        </w:rPr>
        <w:t xml:space="preserve"> </w:t>
      </w:r>
      <w:r w:rsidR="002A58F4">
        <w:rPr>
          <w:rFonts w:ascii="Times New Roman" w:eastAsia="Times New Roman" w:hAnsi="Times New Roman" w:cs="Times New Roman"/>
          <w:bCs/>
          <w:color w:val="002060"/>
          <w:sz w:val="24"/>
          <w:szCs w:val="24"/>
          <w:lang w:eastAsia="el-GR"/>
        </w:rPr>
        <w:t>АТ «ПІРЕУС БАНК МКБ»</w:t>
      </w:r>
      <w:r>
        <w:rPr>
          <w:rFonts w:ascii="Times New Roman" w:eastAsia="Times New Roman" w:hAnsi="Times New Roman" w:cs="Times New Roman"/>
          <w:bCs/>
          <w:color w:val="002060"/>
          <w:sz w:val="24"/>
          <w:szCs w:val="24"/>
          <w:lang w:eastAsia="el-GR"/>
        </w:rPr>
        <w:t xml:space="preserve"> на відповідний рік</w:t>
      </w:r>
      <w:r>
        <w:t xml:space="preserve">. </w:t>
      </w:r>
    </w:p>
    <w:p w:rsidR="00506B88" w:rsidRDefault="008F66B5" w:rsidP="005E4A71">
      <w:pPr>
        <w:pStyle w:val="ListParagraph"/>
        <w:numPr>
          <w:ilvl w:val="0"/>
          <w:numId w:val="27"/>
        </w:numPr>
        <w:spacing w:before="240" w:after="0" w:line="240" w:lineRule="auto"/>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Процедура надання кредитів клієнтам МСБ та корпоративного бізнесу</w:t>
      </w:r>
      <w:r w:rsidR="0002690E" w:rsidRPr="0002690E">
        <w:rPr>
          <w:rFonts w:ascii="Times New Roman" w:eastAsia="Times New Roman" w:hAnsi="Times New Roman" w:cs="Times New Roman"/>
          <w:bCs/>
          <w:color w:val="002060"/>
          <w:sz w:val="24"/>
          <w:szCs w:val="24"/>
          <w:lang w:val="ru-RU" w:eastAsia="el-GR"/>
        </w:rPr>
        <w:t xml:space="preserve"> </w:t>
      </w:r>
      <w:r w:rsidR="0002690E">
        <w:rPr>
          <w:rFonts w:ascii="Times New Roman" w:eastAsia="Times New Roman" w:hAnsi="Times New Roman" w:cs="Times New Roman"/>
          <w:bCs/>
          <w:color w:val="002060"/>
          <w:sz w:val="24"/>
          <w:szCs w:val="24"/>
          <w:lang w:eastAsia="el-GR"/>
        </w:rPr>
        <w:t>АТ «ПІРЕУС БАНК МКБ»</w:t>
      </w:r>
      <w:r>
        <w:rPr>
          <w:rFonts w:ascii="Times New Roman" w:eastAsia="Times New Roman" w:hAnsi="Times New Roman" w:cs="Times New Roman"/>
          <w:bCs/>
          <w:color w:val="002060"/>
          <w:sz w:val="24"/>
          <w:szCs w:val="24"/>
          <w:lang w:eastAsia="el-GR"/>
        </w:rPr>
        <w:t>.</w:t>
      </w:r>
    </w:p>
    <w:p w:rsidR="00506B88" w:rsidRDefault="008F66B5" w:rsidP="005E4A71">
      <w:pPr>
        <w:pStyle w:val="ListParagraph"/>
        <w:numPr>
          <w:ilvl w:val="0"/>
          <w:numId w:val="27"/>
        </w:numPr>
        <w:spacing w:before="240" w:after="0" w:line="240" w:lineRule="auto"/>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Процедура надання та обслуговування кредитів в рамках програми фінансової державної підтримки суб’єктів підприємництва «Доступні кредити 5-7-9%».</w:t>
      </w:r>
    </w:p>
    <w:p w:rsidR="00506B88" w:rsidRDefault="008F66B5" w:rsidP="005E4A71">
      <w:pPr>
        <w:pStyle w:val="ListParagraph"/>
        <w:numPr>
          <w:ilvl w:val="0"/>
          <w:numId w:val="27"/>
        </w:numPr>
        <w:spacing w:before="120" w:after="0" w:line="240" w:lineRule="auto"/>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Процедура кредитування клієнтів бізнесу в рамках Договору надання Портфельної гарантії, укладеного між АТ «ПІРЕУС БАНК МКБ» та Міжнародною Фінансовою Корпорацією з розвитку США.</w:t>
      </w:r>
    </w:p>
    <w:p w:rsidR="00506B88" w:rsidRDefault="008F66B5">
      <w:pPr>
        <w:pStyle w:val="Heading1"/>
        <w:spacing w:before="120" w:after="120"/>
        <w:ind w:left="567"/>
        <w:rPr>
          <w:rFonts w:ascii="Times New Roman" w:hAnsi="Times New Roman"/>
          <w:b/>
          <w:color w:val="002060"/>
        </w:rPr>
      </w:pPr>
      <w:bookmarkStart w:id="7" w:name="_Toc216290574"/>
      <w:r>
        <w:rPr>
          <w:rFonts w:ascii="Times New Roman" w:hAnsi="Times New Roman"/>
          <w:b/>
          <w:color w:val="002060"/>
        </w:rPr>
        <w:t>8. ІСТОРІЯ ЗМІН</w:t>
      </w:r>
      <w:bookmarkEnd w:id="7"/>
      <w:r>
        <w:rPr>
          <w:rFonts w:ascii="Times New Roman" w:hAnsi="Times New Roman"/>
          <w:b/>
          <w:color w:val="002060"/>
        </w:rPr>
        <w:t xml:space="preserve"> </w:t>
      </w:r>
    </w:p>
    <w:tbl>
      <w:tblPr>
        <w:tblW w:w="9709" w:type="dxa"/>
        <w:tblLayout w:type="fixed"/>
        <w:tblCellMar>
          <w:left w:w="70" w:type="dxa"/>
          <w:right w:w="70" w:type="dxa"/>
        </w:tblCellMar>
        <w:tblLook w:val="0000" w:firstRow="0" w:lastRow="0" w:firstColumn="0" w:lastColumn="0" w:noHBand="0" w:noVBand="0"/>
      </w:tblPr>
      <w:tblGrid>
        <w:gridCol w:w="1196"/>
        <w:gridCol w:w="1348"/>
        <w:gridCol w:w="4536"/>
        <w:gridCol w:w="2629"/>
      </w:tblGrid>
      <w:tr w:rsidR="00506B88">
        <w:trPr>
          <w:trHeight w:val="668"/>
        </w:trPr>
        <w:tc>
          <w:tcPr>
            <w:tcW w:w="1196"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pPr>
              <w:spacing w:after="12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Код версії</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pPr>
              <w:spacing w:after="12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Дата версії документу</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pPr>
              <w:spacing w:after="120" w:line="240" w:lineRule="auto"/>
              <w:ind w:firstLine="426"/>
              <w:jc w:val="center"/>
              <w:rPr>
                <w:rFonts w:ascii="Times New Roman" w:hAnsi="Times New Roman" w:cs="Times New Roman"/>
                <w:b/>
                <w:color w:val="002060"/>
                <w:sz w:val="24"/>
                <w:szCs w:val="24"/>
              </w:rPr>
            </w:pPr>
            <w:r>
              <w:rPr>
                <w:rFonts w:ascii="Times New Roman" w:hAnsi="Times New Roman" w:cs="Times New Roman"/>
                <w:b/>
                <w:color w:val="002060"/>
                <w:sz w:val="24"/>
                <w:szCs w:val="24"/>
              </w:rPr>
              <w:t>Опис внесених змін</w:t>
            </w:r>
          </w:p>
        </w:tc>
        <w:tc>
          <w:tcPr>
            <w:tcW w:w="2629" w:type="dxa"/>
            <w:tcBorders>
              <w:top w:val="single" w:sz="6" w:space="0" w:color="auto"/>
              <w:left w:val="single" w:sz="6" w:space="0" w:color="auto"/>
              <w:bottom w:val="single" w:sz="6" w:space="0" w:color="auto"/>
              <w:right w:val="single" w:sz="6" w:space="0" w:color="auto"/>
            </w:tcBorders>
            <w:vAlign w:val="center"/>
          </w:tcPr>
          <w:p w:rsidR="00506B88" w:rsidRDefault="008F66B5">
            <w:pPr>
              <w:spacing w:after="12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Автор (розробник) версії документу</w:t>
            </w:r>
          </w:p>
        </w:tc>
      </w:tr>
      <w:tr w:rsidR="00506B88">
        <w:tc>
          <w:tcPr>
            <w:tcW w:w="1196"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pPr>
              <w:spacing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952</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pPr>
              <w:spacing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25.09.2024</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rsidP="0002690E">
            <w:pPr>
              <w:spacing w:line="240" w:lineRule="auto"/>
              <w:ind w:firstLine="77"/>
              <w:rPr>
                <w:rFonts w:ascii="Times New Roman" w:hAnsi="Times New Roman" w:cs="Times New Roman"/>
                <w:color w:val="002060"/>
                <w:sz w:val="24"/>
                <w:szCs w:val="24"/>
              </w:rPr>
            </w:pPr>
            <w:r>
              <w:rPr>
                <w:rFonts w:ascii="Times New Roman" w:hAnsi="Times New Roman" w:cs="Times New Roman"/>
                <w:color w:val="002060"/>
                <w:sz w:val="24"/>
                <w:szCs w:val="24"/>
              </w:rPr>
              <w:t>Створення документа</w:t>
            </w:r>
          </w:p>
        </w:tc>
        <w:tc>
          <w:tcPr>
            <w:tcW w:w="2629" w:type="dxa"/>
            <w:tcBorders>
              <w:top w:val="single" w:sz="6" w:space="0" w:color="auto"/>
              <w:left w:val="single" w:sz="6" w:space="0" w:color="auto"/>
              <w:bottom w:val="single" w:sz="6" w:space="0" w:color="auto"/>
              <w:right w:val="single" w:sz="6" w:space="0" w:color="auto"/>
            </w:tcBorders>
          </w:tcPr>
          <w:p w:rsidR="00506B88" w:rsidRDefault="008F66B5">
            <w:pPr>
              <w:spacing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Валяровська В.В, Управління ризик-менеджменту</w:t>
            </w:r>
          </w:p>
        </w:tc>
      </w:tr>
      <w:tr w:rsidR="00506B88" w:rsidTr="007407A8">
        <w:trPr>
          <w:trHeight w:val="763"/>
        </w:trPr>
        <w:tc>
          <w:tcPr>
            <w:tcW w:w="1196"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pPr>
              <w:spacing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1196</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02690E">
            <w:pPr>
              <w:spacing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lang w:val="en-US"/>
              </w:rPr>
              <w:t>19</w:t>
            </w:r>
            <w:r w:rsidR="008F66B5">
              <w:rPr>
                <w:rFonts w:ascii="Times New Roman" w:hAnsi="Times New Roman" w:cs="Times New Roman"/>
                <w:color w:val="002060"/>
                <w:sz w:val="24"/>
                <w:szCs w:val="24"/>
              </w:rPr>
              <w:t>.12.2025</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rsidP="0002690E">
            <w:pPr>
              <w:spacing w:after="0" w:line="240" w:lineRule="auto"/>
              <w:ind w:firstLine="77"/>
              <w:rPr>
                <w:rFonts w:ascii="Times New Roman" w:hAnsi="Times New Roman" w:cs="Times New Roman"/>
                <w:color w:val="002060"/>
                <w:sz w:val="24"/>
                <w:szCs w:val="24"/>
              </w:rPr>
            </w:pPr>
            <w:r>
              <w:rPr>
                <w:rFonts w:ascii="Times New Roman" w:hAnsi="Times New Roman" w:cs="Times New Roman"/>
                <w:color w:val="002060"/>
                <w:sz w:val="24"/>
                <w:szCs w:val="24"/>
              </w:rPr>
              <w:t>Щорічна актуалізація документа</w:t>
            </w:r>
          </w:p>
          <w:p w:rsidR="0002690E" w:rsidRDefault="0002690E" w:rsidP="0002690E">
            <w:pPr>
              <w:spacing w:after="0" w:line="240" w:lineRule="auto"/>
              <w:ind w:firstLine="77"/>
              <w:rPr>
                <w:rFonts w:ascii="Times New Roman" w:hAnsi="Times New Roman" w:cs="Times New Roman"/>
                <w:color w:val="002060"/>
                <w:sz w:val="24"/>
                <w:szCs w:val="24"/>
              </w:rPr>
            </w:pPr>
            <w:r>
              <w:rPr>
                <w:rFonts w:ascii="Times New Roman" w:hAnsi="Times New Roman" w:cs="Times New Roman"/>
                <w:color w:val="002060"/>
                <w:sz w:val="24"/>
                <w:szCs w:val="24"/>
              </w:rPr>
              <w:t>Новий формат документа</w:t>
            </w:r>
          </w:p>
        </w:tc>
        <w:tc>
          <w:tcPr>
            <w:tcW w:w="2629" w:type="dxa"/>
            <w:tcBorders>
              <w:top w:val="single" w:sz="6" w:space="0" w:color="auto"/>
              <w:left w:val="single" w:sz="6" w:space="0" w:color="auto"/>
              <w:bottom w:val="single" w:sz="6" w:space="0" w:color="auto"/>
              <w:right w:val="single" w:sz="6" w:space="0" w:color="auto"/>
            </w:tcBorders>
          </w:tcPr>
          <w:p w:rsidR="00506B88" w:rsidRDefault="008F66B5">
            <w:pPr>
              <w:spacing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Валяровська В.В, Управління ризик-менеджменту</w:t>
            </w:r>
          </w:p>
        </w:tc>
      </w:tr>
    </w:tbl>
    <w:p w:rsidR="00506B88" w:rsidRDefault="008F66B5">
      <w:pPr>
        <w:pStyle w:val="Heading1"/>
        <w:spacing w:before="120"/>
        <w:ind w:left="567"/>
        <w:rPr>
          <w:rFonts w:ascii="Times New Roman" w:hAnsi="Times New Roman"/>
          <w:b/>
          <w:color w:val="002060"/>
        </w:rPr>
      </w:pPr>
      <w:bookmarkStart w:id="8" w:name="_Toc216290575"/>
      <w:r>
        <w:rPr>
          <w:rFonts w:ascii="Times New Roman" w:hAnsi="Times New Roman"/>
          <w:b/>
          <w:color w:val="002060"/>
          <w:lang w:val="en-GB"/>
        </w:rPr>
        <w:t xml:space="preserve">9. </w:t>
      </w:r>
      <w:r>
        <w:rPr>
          <w:rFonts w:ascii="Times New Roman" w:hAnsi="Times New Roman"/>
          <w:b/>
          <w:color w:val="002060"/>
        </w:rPr>
        <w:t>МЕТА-ДАНІ</w:t>
      </w:r>
      <w:bookmarkEnd w:id="8"/>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ESG (</w:t>
      </w:r>
      <w:r>
        <w:rPr>
          <w:bCs/>
          <w:i/>
          <w:color w:val="002060"/>
          <w:lang w:eastAsia="el-GR"/>
        </w:rPr>
        <w:t>Environmental, Social, Governance</w:t>
      </w:r>
      <w:r>
        <w:rPr>
          <w:bCs/>
          <w:i/>
          <w:color w:val="002060"/>
          <w:lang w:val="uk-UA" w:eastAsia="el-GR"/>
        </w:rPr>
        <w:t>)</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екологічні ризики</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соціальні ризики</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управлінські ризики</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сталий розвиток</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екологічний та соціальний менеджмент</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корпоративне управління</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ризик-менеджмент</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внутрішній контроль</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кредитна політика</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міжнародні стандарти (IFC, ЄБРР, Принципи Екватора)</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сталий банкінг / зелений банкінг</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екологічна та соціальна оцінка</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lastRenderedPageBreak/>
        <w:t>управління ризиками клієнтів</w:t>
      </w:r>
    </w:p>
    <w:p w:rsidR="00506B88" w:rsidRDefault="00506B88">
      <w:pPr>
        <w:spacing w:after="0" w:line="240" w:lineRule="auto"/>
        <w:ind w:firstLine="567"/>
        <w:rPr>
          <w:rFonts w:ascii="Times New Roman" w:eastAsia="Times New Roman" w:hAnsi="Times New Roman" w:cs="Times New Roman"/>
          <w:b/>
          <w:bCs/>
          <w:color w:val="002060"/>
          <w:sz w:val="24"/>
          <w:szCs w:val="24"/>
          <w:lang w:eastAsia="el-GR"/>
        </w:rPr>
      </w:pPr>
    </w:p>
    <w:p w:rsidR="00506B88" w:rsidRDefault="008F66B5">
      <w:pPr>
        <w:pStyle w:val="Heading1"/>
        <w:rPr>
          <w:bCs/>
          <w:i/>
          <w:szCs w:val="24"/>
          <w:lang w:eastAsia="el-GR"/>
        </w:rPr>
      </w:pPr>
      <w:bookmarkStart w:id="9" w:name="_Toc216290576"/>
      <w:r>
        <w:rPr>
          <w:rStyle w:val="Heading1Char"/>
          <w:rFonts w:ascii="Times New Roman" w:eastAsia="Calibri" w:hAnsi="Times New Roman"/>
          <w:b/>
          <w:color w:val="002060"/>
        </w:rPr>
        <w:t>ДОДАТКИ</w:t>
      </w:r>
      <w:bookmarkEnd w:id="9"/>
      <w:r>
        <w:rPr>
          <w:bCs/>
          <w:szCs w:val="24"/>
          <w:lang w:eastAsia="el-GR"/>
        </w:rPr>
        <w:t xml:space="preserve">  </w:t>
      </w:r>
    </w:p>
    <w:tbl>
      <w:tblPr>
        <w:tblStyle w:val="TableGrid"/>
        <w:tblW w:w="10207" w:type="dxa"/>
        <w:tblInd w:w="-289" w:type="dxa"/>
        <w:tblLook w:val="04A0" w:firstRow="1" w:lastRow="0" w:firstColumn="1" w:lastColumn="0" w:noHBand="0" w:noVBand="1"/>
      </w:tblPr>
      <w:tblGrid>
        <w:gridCol w:w="710"/>
        <w:gridCol w:w="7371"/>
        <w:gridCol w:w="2126"/>
      </w:tblGrid>
      <w:tr w:rsidR="00506B88">
        <w:trPr>
          <w:trHeight w:val="588"/>
        </w:trPr>
        <w:tc>
          <w:tcPr>
            <w:tcW w:w="710" w:type="dxa"/>
            <w:vAlign w:val="center"/>
          </w:tcPr>
          <w:p w:rsidR="00506B88" w:rsidRDefault="008F66B5">
            <w:pPr>
              <w:jc w:val="center"/>
              <w:rPr>
                <w:rFonts w:ascii="Times New Roman" w:hAnsi="Times New Roman"/>
                <w:b/>
                <w:color w:val="002060"/>
                <w:sz w:val="24"/>
                <w:szCs w:val="24"/>
                <w:lang w:eastAsia="uk-UA"/>
              </w:rPr>
            </w:pPr>
            <w:r>
              <w:rPr>
                <w:rFonts w:ascii="Times New Roman" w:hAnsi="Times New Roman"/>
                <w:b/>
                <w:color w:val="002060"/>
                <w:sz w:val="24"/>
                <w:szCs w:val="24"/>
                <w:lang w:eastAsia="uk-UA"/>
              </w:rPr>
              <w:t xml:space="preserve">№ </w:t>
            </w:r>
          </w:p>
        </w:tc>
        <w:tc>
          <w:tcPr>
            <w:tcW w:w="7371" w:type="dxa"/>
            <w:vAlign w:val="center"/>
          </w:tcPr>
          <w:p w:rsidR="00506B88" w:rsidRDefault="008F66B5">
            <w:pPr>
              <w:jc w:val="center"/>
              <w:rPr>
                <w:rFonts w:ascii="Times New Roman" w:hAnsi="Times New Roman"/>
                <w:b/>
                <w:color w:val="002060"/>
                <w:sz w:val="24"/>
                <w:szCs w:val="24"/>
                <w:lang w:val="uk-UA" w:eastAsia="uk-UA"/>
              </w:rPr>
            </w:pPr>
            <w:r>
              <w:rPr>
                <w:rFonts w:ascii="Times New Roman" w:hAnsi="Times New Roman"/>
                <w:b/>
                <w:color w:val="002060"/>
                <w:sz w:val="24"/>
                <w:szCs w:val="24"/>
                <w:lang w:val="uk-UA" w:eastAsia="uk-UA"/>
              </w:rPr>
              <w:t xml:space="preserve">Найменування додатку </w:t>
            </w:r>
          </w:p>
        </w:tc>
        <w:tc>
          <w:tcPr>
            <w:tcW w:w="2126" w:type="dxa"/>
            <w:vAlign w:val="center"/>
          </w:tcPr>
          <w:p w:rsidR="00506B88" w:rsidRDefault="00506B88">
            <w:pPr>
              <w:jc w:val="center"/>
              <w:rPr>
                <w:rFonts w:ascii="Times New Roman" w:hAnsi="Times New Roman"/>
                <w:b/>
                <w:color w:val="002060"/>
                <w:sz w:val="24"/>
                <w:szCs w:val="24"/>
                <w:lang w:eastAsia="uk-UA"/>
              </w:rPr>
            </w:pPr>
          </w:p>
          <w:p w:rsidR="00506B88" w:rsidRDefault="008F66B5">
            <w:pPr>
              <w:jc w:val="center"/>
              <w:rPr>
                <w:rFonts w:ascii="Times New Roman" w:hAnsi="Times New Roman"/>
                <w:b/>
                <w:color w:val="002060"/>
                <w:sz w:val="24"/>
                <w:szCs w:val="24"/>
                <w:lang w:val="uk-UA" w:eastAsia="uk-UA"/>
              </w:rPr>
            </w:pPr>
            <w:r>
              <w:rPr>
                <w:rFonts w:ascii="Times New Roman" w:hAnsi="Times New Roman"/>
                <w:b/>
                <w:color w:val="002060"/>
                <w:sz w:val="24"/>
                <w:szCs w:val="24"/>
                <w:lang w:val="uk-UA" w:eastAsia="uk-UA"/>
              </w:rPr>
              <w:t>Документ</w:t>
            </w:r>
          </w:p>
          <w:p w:rsidR="00506B88" w:rsidRDefault="00506B88">
            <w:pPr>
              <w:jc w:val="center"/>
              <w:rPr>
                <w:rFonts w:ascii="Times New Roman" w:hAnsi="Times New Roman"/>
                <w:b/>
                <w:color w:val="002060"/>
                <w:sz w:val="24"/>
                <w:szCs w:val="24"/>
                <w:lang w:eastAsia="uk-UA"/>
              </w:rPr>
            </w:pPr>
          </w:p>
        </w:tc>
      </w:tr>
      <w:tr w:rsidR="00506B88">
        <w:trPr>
          <w:trHeight w:val="601"/>
        </w:trPr>
        <w:tc>
          <w:tcPr>
            <w:tcW w:w="710" w:type="dxa"/>
            <w:vAlign w:val="center"/>
          </w:tcPr>
          <w:p w:rsidR="00506B88" w:rsidRDefault="008F66B5">
            <w:pPr>
              <w:jc w:val="center"/>
              <w:rPr>
                <w:rFonts w:ascii="Times New Roman" w:hAnsi="Times New Roman"/>
                <w:b/>
                <w:color w:val="002060"/>
                <w:sz w:val="24"/>
                <w:szCs w:val="24"/>
                <w:lang w:eastAsia="uk-UA"/>
              </w:rPr>
            </w:pPr>
            <w:r>
              <w:rPr>
                <w:rFonts w:ascii="Times New Roman" w:hAnsi="Times New Roman"/>
                <w:b/>
                <w:color w:val="002060"/>
                <w:sz w:val="24"/>
                <w:szCs w:val="24"/>
                <w:lang w:eastAsia="uk-UA"/>
              </w:rPr>
              <w:t>1</w:t>
            </w:r>
          </w:p>
        </w:tc>
        <w:tc>
          <w:tcPr>
            <w:tcW w:w="7371" w:type="dxa"/>
            <w:vAlign w:val="center"/>
          </w:tcPr>
          <w:p w:rsidR="00506B88" w:rsidRDefault="008F66B5">
            <w:pPr>
              <w:rPr>
                <w:rFonts w:ascii="Times New Roman" w:hAnsi="Times New Roman"/>
                <w:color w:val="002060"/>
                <w:sz w:val="24"/>
                <w:szCs w:val="24"/>
                <w:lang w:val="uk-UA"/>
              </w:rPr>
            </w:pPr>
            <w:r>
              <w:rPr>
                <w:rFonts w:ascii="Times New Roman" w:hAnsi="Times New Roman"/>
                <w:color w:val="002060"/>
                <w:sz w:val="24"/>
                <w:szCs w:val="24"/>
                <w:lang w:val="uk-UA"/>
              </w:rPr>
              <w:t xml:space="preserve">Додаток A – Блок-схема для оцінки ESG ризику </w:t>
            </w:r>
          </w:p>
        </w:tc>
        <w:tc>
          <w:tcPr>
            <w:tcW w:w="2126" w:type="dxa"/>
          </w:tcPr>
          <w:p w:rsidR="00506B88" w:rsidRDefault="0059340B">
            <w:pPr>
              <w:jc w:val="center"/>
              <w:rPr>
                <w:rFonts w:ascii="Times New Roman" w:hAnsi="Times New Roman"/>
                <w:b/>
                <w:color w:val="002060"/>
                <w:sz w:val="24"/>
                <w:szCs w:val="24"/>
                <w:lang w:eastAsia="uk-UA"/>
              </w:rPr>
            </w:pPr>
            <w:bookmarkStart w:id="10" w:name="_MON_1821375333"/>
            <w:bookmarkStart w:id="11" w:name="_MON_1801898143"/>
            <w:bookmarkStart w:id="12" w:name="_MON_1815385857"/>
            <w:bookmarkEnd w:id="10"/>
            <w:bookmarkEnd w:id="11"/>
            <w:bookmarkEnd w:id="12"/>
            <w:r>
              <w:rPr>
                <w:rFonts w:ascii="Times New Roman" w:hAnsi="Times New Roman"/>
                <w:b/>
                <w:color w:val="002060"/>
                <w:sz w:val="24"/>
                <w:szCs w:val="24"/>
                <w:lang w:eastAsia="uk-UA"/>
              </w:rPr>
              <w:pict w14:anchorId="63C9F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0;width:50pt;height:50pt;z-index:251656192;visibility:hidden;mso-position-horizontal-relative:text;mso-position-vertical-relative:text" filled="t" stroked="t">
                  <v:stroke joinstyle="round"/>
                  <v:path o:extrusionok="t" gradientshapeok="f" o:connecttype="segments"/>
                  <o:lock v:ext="edit" aspectratio="f" selection="t"/>
                </v:shape>
              </w:pict>
            </w:r>
            <w:bookmarkStart w:id="13" w:name="_MON_1829195521"/>
            <w:bookmarkEnd w:id="13"/>
            <w:r w:rsidR="008F66B5">
              <w:rPr>
                <w:rFonts w:ascii="Times New Roman" w:hAnsi="Times New Roman" w:cs="Calibri"/>
                <w:b/>
                <w:color w:val="002060"/>
                <w:sz w:val="24"/>
                <w:szCs w:val="24"/>
                <w:lang w:val="uk-UA" w:eastAsia="uk-UA"/>
              </w:rPr>
              <w:object w:dxaOrig="1520" w:dyaOrig="987" w14:anchorId="6D2A0952">
                <v:shape id="_x0000_i1025" type="#_x0000_t75" style="width:76.2pt;height:49.2pt;mso-wrap-distance-left:0;mso-wrap-distance-top:0;mso-wrap-distance-right:0;mso-wrap-distance-bottom:0" o:ole="">
                  <v:imagedata r:id="rId14" o:title=""/>
                  <v:path textboxrect="0,0,0,0"/>
                </v:shape>
                <o:OLEObject Type="Embed" ProgID="Word.Document.12" ShapeID="_x0000_i1025" DrawAspect="Content" ObjectID="_1829195561" r:id="rId15"/>
              </w:object>
            </w:r>
          </w:p>
        </w:tc>
      </w:tr>
      <w:tr w:rsidR="00506B88">
        <w:tc>
          <w:tcPr>
            <w:tcW w:w="710" w:type="dxa"/>
            <w:vAlign w:val="center"/>
          </w:tcPr>
          <w:p w:rsidR="00506B88" w:rsidRDefault="008F66B5">
            <w:pPr>
              <w:jc w:val="center"/>
              <w:rPr>
                <w:rFonts w:ascii="Times New Roman" w:hAnsi="Times New Roman"/>
                <w:b/>
                <w:color w:val="002060"/>
                <w:sz w:val="24"/>
                <w:szCs w:val="24"/>
                <w:lang w:val="uk-UA" w:eastAsia="uk-UA"/>
              </w:rPr>
            </w:pPr>
            <w:r>
              <w:rPr>
                <w:rFonts w:ascii="Times New Roman" w:hAnsi="Times New Roman"/>
                <w:b/>
                <w:color w:val="002060"/>
                <w:sz w:val="24"/>
                <w:szCs w:val="24"/>
                <w:lang w:val="uk-UA" w:eastAsia="uk-UA"/>
              </w:rPr>
              <w:t>2</w:t>
            </w:r>
          </w:p>
        </w:tc>
        <w:tc>
          <w:tcPr>
            <w:tcW w:w="7371" w:type="dxa"/>
            <w:vAlign w:val="center"/>
          </w:tcPr>
          <w:p w:rsidR="00506B88" w:rsidRDefault="008F66B5">
            <w:pPr>
              <w:rPr>
                <w:rFonts w:ascii="Times New Roman" w:hAnsi="Times New Roman"/>
                <w:color w:val="002060"/>
                <w:sz w:val="24"/>
                <w:szCs w:val="24"/>
                <w:lang w:val="uk-UA"/>
              </w:rPr>
            </w:pPr>
            <w:r>
              <w:rPr>
                <w:rFonts w:ascii="Times New Roman" w:hAnsi="Times New Roman"/>
                <w:color w:val="002060"/>
                <w:sz w:val="24"/>
                <w:szCs w:val="24"/>
                <w:lang w:val="uk-UA"/>
              </w:rPr>
              <w:t>Додаток В – Перелік винятків</w:t>
            </w:r>
          </w:p>
          <w:p w:rsidR="00506B88" w:rsidRDefault="00506B88">
            <w:pPr>
              <w:rPr>
                <w:rFonts w:ascii="Times New Roman" w:hAnsi="Times New Roman"/>
                <w:color w:val="002060"/>
                <w:sz w:val="24"/>
                <w:szCs w:val="24"/>
                <w:lang w:val="uk-UA"/>
              </w:rPr>
            </w:pPr>
          </w:p>
        </w:tc>
        <w:tc>
          <w:tcPr>
            <w:tcW w:w="2126" w:type="dxa"/>
          </w:tcPr>
          <w:p w:rsidR="00506B88" w:rsidRDefault="0059340B" w:rsidP="0059340B">
            <w:pPr>
              <w:jc w:val="center"/>
              <w:rPr>
                <w:rFonts w:ascii="Times New Roman" w:hAnsi="Times New Roman"/>
                <w:b/>
                <w:color w:val="002060"/>
                <w:sz w:val="24"/>
                <w:szCs w:val="24"/>
                <w:lang w:eastAsia="uk-UA"/>
              </w:rPr>
            </w:pPr>
            <w:bookmarkStart w:id="14" w:name="_MON_1824237596"/>
            <w:bookmarkStart w:id="15" w:name="_MON_1821375619"/>
            <w:bookmarkStart w:id="16" w:name="_MON_1821637391"/>
            <w:bookmarkEnd w:id="14"/>
            <w:bookmarkEnd w:id="15"/>
            <w:bookmarkEnd w:id="16"/>
            <w:r>
              <w:rPr>
                <w:rFonts w:ascii="Times New Roman" w:hAnsi="Times New Roman"/>
                <w:b/>
                <w:color w:val="002060"/>
                <w:sz w:val="24"/>
                <w:szCs w:val="24"/>
                <w:lang w:eastAsia="uk-UA"/>
              </w:rPr>
              <w:pict w14:anchorId="42951C0B">
                <v:shape id="_x0000_s1033" type="#_x0000_t75" style="position:absolute;left:0;text-align:left;margin-left:0;margin-top:0;width:50pt;height:50pt;z-index:251657216;visibility:hidden;mso-position-horizontal-relative:text;mso-position-vertical-relative:text" filled="t" stroked="t">
                  <v:stroke joinstyle="round"/>
                  <v:path o:extrusionok="t" gradientshapeok="f" o:connecttype="segments"/>
                  <o:lock v:ext="edit" aspectratio="f" selection="t"/>
                </v:shape>
              </w:pict>
            </w:r>
            <w:bookmarkStart w:id="17" w:name="_MON_1829195515"/>
            <w:bookmarkEnd w:id="17"/>
            <w:r>
              <w:rPr>
                <w:rFonts w:ascii="Times New Roman" w:hAnsi="Times New Roman"/>
                <w:b/>
                <w:color w:val="002060"/>
                <w:sz w:val="24"/>
                <w:szCs w:val="24"/>
                <w:lang w:eastAsia="uk-UA"/>
              </w:rPr>
              <w:object w:dxaOrig="1520" w:dyaOrig="987">
                <v:shape id="_x0000_i1031" type="#_x0000_t75" style="width:76.2pt;height:49.2pt" o:ole="">
                  <v:imagedata r:id="rId16" o:title=""/>
                </v:shape>
                <o:OLEObject Type="Embed" ProgID="Word.Document.12" ShapeID="_x0000_i1031" DrawAspect="Icon" ObjectID="_1829195562" r:id="rId17">
                  <o:FieldCodes>\s</o:FieldCodes>
                </o:OLEObject>
              </w:object>
            </w:r>
          </w:p>
        </w:tc>
      </w:tr>
      <w:tr w:rsidR="00506B88">
        <w:trPr>
          <w:trHeight w:val="377"/>
        </w:trPr>
        <w:tc>
          <w:tcPr>
            <w:tcW w:w="710" w:type="dxa"/>
            <w:vAlign w:val="center"/>
          </w:tcPr>
          <w:p w:rsidR="00506B88" w:rsidRDefault="008F66B5">
            <w:pPr>
              <w:jc w:val="center"/>
              <w:rPr>
                <w:rFonts w:ascii="Times New Roman" w:hAnsi="Times New Roman"/>
                <w:b/>
                <w:color w:val="002060"/>
                <w:sz w:val="24"/>
                <w:szCs w:val="24"/>
                <w:lang w:val="uk-UA" w:eastAsia="uk-UA"/>
              </w:rPr>
            </w:pPr>
            <w:r>
              <w:rPr>
                <w:rFonts w:ascii="Times New Roman" w:hAnsi="Times New Roman"/>
                <w:b/>
                <w:color w:val="002060"/>
                <w:sz w:val="24"/>
                <w:szCs w:val="24"/>
                <w:lang w:val="uk-UA" w:eastAsia="uk-UA"/>
              </w:rPr>
              <w:t>3</w:t>
            </w:r>
          </w:p>
        </w:tc>
        <w:tc>
          <w:tcPr>
            <w:tcW w:w="7371" w:type="dxa"/>
            <w:vAlign w:val="center"/>
          </w:tcPr>
          <w:p w:rsidR="00506B88" w:rsidRDefault="008F66B5">
            <w:pPr>
              <w:rPr>
                <w:rFonts w:ascii="Times New Roman" w:hAnsi="Times New Roman"/>
                <w:color w:val="002060"/>
                <w:sz w:val="24"/>
                <w:szCs w:val="24"/>
                <w:lang w:val="uk-UA" w:eastAsia="uk-UA"/>
              </w:rPr>
            </w:pPr>
            <w:r>
              <w:rPr>
                <w:rFonts w:ascii="Times New Roman" w:hAnsi="Times New Roman"/>
                <w:color w:val="002060"/>
                <w:sz w:val="24"/>
                <w:szCs w:val="24"/>
                <w:lang w:val="uk-UA"/>
              </w:rPr>
              <w:t xml:space="preserve">Додаток C – </w:t>
            </w:r>
            <w:r>
              <w:rPr>
                <w:rFonts w:ascii="Times New Roman" w:hAnsi="Times New Roman"/>
                <w:color w:val="002060"/>
                <w:sz w:val="24"/>
                <w:szCs w:val="24"/>
                <w:lang w:val="uk-UA" w:eastAsia="uk-UA"/>
              </w:rPr>
              <w:t>Порогові суми</w:t>
            </w:r>
          </w:p>
          <w:p w:rsidR="00506B88" w:rsidRDefault="00506B88">
            <w:pPr>
              <w:rPr>
                <w:rFonts w:ascii="Times New Roman" w:hAnsi="Times New Roman"/>
                <w:color w:val="002060"/>
                <w:sz w:val="24"/>
                <w:szCs w:val="24"/>
                <w:lang w:val="uk-UA" w:eastAsia="uk-UA"/>
              </w:rPr>
            </w:pPr>
          </w:p>
        </w:tc>
        <w:tc>
          <w:tcPr>
            <w:tcW w:w="2126" w:type="dxa"/>
          </w:tcPr>
          <w:p w:rsidR="00506B88" w:rsidRDefault="0059340B">
            <w:pPr>
              <w:jc w:val="center"/>
              <w:rPr>
                <w:rFonts w:ascii="Times New Roman" w:hAnsi="Times New Roman"/>
                <w:b/>
                <w:color w:val="002060"/>
                <w:sz w:val="24"/>
                <w:szCs w:val="24"/>
                <w:lang w:eastAsia="uk-UA"/>
              </w:rPr>
            </w:pPr>
            <w:bookmarkStart w:id="18" w:name="_MON_1824237619"/>
            <w:bookmarkStart w:id="19" w:name="_MON_1821375536"/>
            <w:bookmarkStart w:id="20" w:name="_MON_1815385888"/>
            <w:bookmarkEnd w:id="18"/>
            <w:bookmarkEnd w:id="19"/>
            <w:bookmarkEnd w:id="20"/>
            <w:r>
              <w:rPr>
                <w:rFonts w:ascii="Times New Roman" w:hAnsi="Times New Roman"/>
                <w:b/>
                <w:color w:val="002060"/>
                <w:sz w:val="24"/>
                <w:szCs w:val="24"/>
                <w:lang w:eastAsia="uk-UA"/>
              </w:rPr>
              <w:pict w14:anchorId="7861E0B9">
                <v:shape id="_x0000_s1031" type="#_x0000_t75" style="position:absolute;left:0;text-align:left;margin-left:0;margin-top:0;width:50pt;height:50pt;z-index:251658240;visibility:hidden;mso-position-horizontal-relative:text;mso-position-vertical-relative:text" filled="t" stroked="t">
                  <v:stroke joinstyle="round"/>
                  <v:path o:extrusionok="t" gradientshapeok="f" o:connecttype="segments"/>
                  <o:lock v:ext="edit" aspectratio="f" selection="t"/>
                </v:shape>
              </w:pict>
            </w:r>
            <w:bookmarkStart w:id="21" w:name="_MON_1829195536"/>
            <w:bookmarkEnd w:id="21"/>
            <w:r w:rsidR="008F66B5">
              <w:rPr>
                <w:rFonts w:ascii="Times New Roman" w:hAnsi="Times New Roman" w:cs="Calibri"/>
                <w:b/>
                <w:color w:val="002060"/>
                <w:sz w:val="24"/>
                <w:szCs w:val="24"/>
                <w:lang w:val="uk-UA" w:eastAsia="uk-UA"/>
              </w:rPr>
              <w:object w:dxaOrig="1520" w:dyaOrig="987" w14:anchorId="486A91B1">
                <v:shape id="_x0000_i1027" type="#_x0000_t75" style="width:76.2pt;height:49.2pt;mso-wrap-distance-left:0;mso-wrap-distance-top:0;mso-wrap-distance-right:0;mso-wrap-distance-bottom:0" o:ole="">
                  <v:imagedata r:id="rId18" o:title=""/>
                  <v:path textboxrect="0,0,0,0"/>
                </v:shape>
                <o:OLEObject Type="Embed" ProgID="Word.Document.12" ShapeID="_x0000_i1027" DrawAspect="Content" ObjectID="_1829195563" r:id="rId19"/>
              </w:object>
            </w:r>
          </w:p>
        </w:tc>
      </w:tr>
      <w:tr w:rsidR="00506B88">
        <w:tc>
          <w:tcPr>
            <w:tcW w:w="710" w:type="dxa"/>
            <w:vAlign w:val="center"/>
          </w:tcPr>
          <w:p w:rsidR="00506B88" w:rsidRDefault="008F66B5">
            <w:pPr>
              <w:jc w:val="center"/>
              <w:rPr>
                <w:rFonts w:ascii="Times New Roman" w:hAnsi="Times New Roman"/>
                <w:b/>
                <w:color w:val="002060"/>
                <w:sz w:val="24"/>
                <w:szCs w:val="24"/>
                <w:lang w:eastAsia="uk-UA"/>
              </w:rPr>
            </w:pPr>
            <w:r>
              <w:rPr>
                <w:rFonts w:ascii="Times New Roman" w:hAnsi="Times New Roman"/>
                <w:b/>
                <w:color w:val="002060"/>
                <w:sz w:val="24"/>
                <w:szCs w:val="24"/>
                <w:lang w:eastAsia="uk-UA"/>
              </w:rPr>
              <w:t>4</w:t>
            </w:r>
          </w:p>
        </w:tc>
        <w:tc>
          <w:tcPr>
            <w:tcW w:w="7371" w:type="dxa"/>
            <w:vAlign w:val="center"/>
          </w:tcPr>
          <w:p w:rsidR="00506B88" w:rsidRDefault="008F66B5">
            <w:pPr>
              <w:rPr>
                <w:rFonts w:ascii="Times New Roman" w:hAnsi="Times New Roman"/>
                <w:color w:val="002060"/>
                <w:sz w:val="24"/>
                <w:szCs w:val="24"/>
                <w:lang w:val="uk-UA"/>
              </w:rPr>
            </w:pPr>
            <w:r>
              <w:rPr>
                <w:rFonts w:ascii="Times New Roman" w:hAnsi="Times New Roman"/>
                <w:color w:val="002060"/>
                <w:sz w:val="24"/>
                <w:szCs w:val="24"/>
                <w:lang w:val="uk-UA"/>
              </w:rPr>
              <w:t xml:space="preserve">Додаток D – </w:t>
            </w:r>
            <w:r>
              <w:rPr>
                <w:rFonts w:ascii="Times New Roman" w:eastAsia="Times New Roman" w:hAnsi="Times New Roman"/>
                <w:bCs/>
                <w:color w:val="002060"/>
                <w:sz w:val="24"/>
                <w:szCs w:val="24"/>
                <w:lang w:val="uk-UA" w:eastAsia="el-GR"/>
              </w:rPr>
              <w:t>Форма опису та оцінки характеристики клієнта та проекту</w:t>
            </w:r>
          </w:p>
        </w:tc>
        <w:tc>
          <w:tcPr>
            <w:tcW w:w="2126" w:type="dxa"/>
          </w:tcPr>
          <w:p w:rsidR="00506B88" w:rsidRDefault="0059340B" w:rsidP="008E5037">
            <w:pPr>
              <w:jc w:val="center"/>
              <w:rPr>
                <w:rFonts w:ascii="Times New Roman" w:eastAsia="Times New Roman" w:hAnsi="Times New Roman"/>
                <w:b/>
                <w:color w:val="002060"/>
                <w:sz w:val="24"/>
                <w:szCs w:val="24"/>
                <w:lang w:eastAsia="uk-UA"/>
              </w:rPr>
            </w:pPr>
            <w:r>
              <w:rPr>
                <w:rFonts w:ascii="Times New Roman" w:eastAsia="Times New Roman" w:hAnsi="Times New Roman" w:cs="Calibri"/>
                <w:b/>
                <w:color w:val="002060"/>
                <w:sz w:val="24"/>
                <w:szCs w:val="24"/>
                <w:lang w:val="uk-UA" w:eastAsia="uk-UA"/>
              </w:rPr>
              <w:object w:dxaOrig="1520" w:dyaOrig="987">
                <v:shape id="_x0000_i1033" type="#_x0000_t75" style="width:76.2pt;height:49.2pt" o:ole="">
                  <v:imagedata r:id="rId20" o:title=""/>
                </v:shape>
                <o:OLEObject Type="Embed" ProgID="Excel.Sheet.12" ShapeID="_x0000_i1033" DrawAspect="Icon" ObjectID="_1829195564" r:id="rId21"/>
              </w:object>
            </w:r>
            <w:r>
              <w:rPr>
                <w:rFonts w:ascii="Times New Roman" w:eastAsia="Times New Roman" w:hAnsi="Times New Roman"/>
                <w:b/>
                <w:color w:val="002060"/>
                <w:sz w:val="24"/>
                <w:szCs w:val="24"/>
                <w:lang w:eastAsia="uk-UA"/>
              </w:rPr>
              <w:pict w14:anchorId="0FEBEF6C">
                <v:shape id="_x0000_s1029" type="#_x0000_t75" style="position:absolute;left:0;text-align:left;margin-left:0;margin-top:0;width:50pt;height:50pt;z-index:251659264;visibility:hidden;mso-position-horizontal-relative:text;mso-position-vertical-relative:text" filled="t" stroked="t">
                  <v:stroke joinstyle="round"/>
                  <v:path o:extrusionok="t" gradientshapeok="f" o:connecttype="segments"/>
                  <o:lock v:ext="edit" aspectratio="f" selection="t"/>
                </v:shape>
              </w:pict>
            </w:r>
          </w:p>
        </w:tc>
      </w:tr>
      <w:tr w:rsidR="00506B88">
        <w:tc>
          <w:tcPr>
            <w:tcW w:w="710" w:type="dxa"/>
            <w:vAlign w:val="center"/>
          </w:tcPr>
          <w:p w:rsidR="00506B88" w:rsidRDefault="008F66B5">
            <w:pPr>
              <w:jc w:val="center"/>
              <w:rPr>
                <w:rFonts w:ascii="Times New Roman" w:hAnsi="Times New Roman"/>
                <w:b/>
                <w:color w:val="002060"/>
                <w:sz w:val="24"/>
                <w:szCs w:val="24"/>
                <w:lang w:eastAsia="uk-UA"/>
              </w:rPr>
            </w:pPr>
            <w:r>
              <w:rPr>
                <w:rFonts w:ascii="Times New Roman" w:hAnsi="Times New Roman"/>
                <w:b/>
                <w:color w:val="002060"/>
                <w:sz w:val="24"/>
                <w:szCs w:val="24"/>
                <w:lang w:eastAsia="uk-UA"/>
              </w:rPr>
              <w:t>5</w:t>
            </w:r>
          </w:p>
        </w:tc>
        <w:tc>
          <w:tcPr>
            <w:tcW w:w="7371" w:type="dxa"/>
            <w:vAlign w:val="center"/>
          </w:tcPr>
          <w:p w:rsidR="00506B88" w:rsidRDefault="008F66B5">
            <w:pPr>
              <w:rPr>
                <w:rFonts w:ascii="Times New Roman" w:hAnsi="Times New Roman"/>
                <w:color w:val="002060"/>
                <w:sz w:val="24"/>
                <w:szCs w:val="24"/>
                <w:lang w:val="uk-UA"/>
              </w:rPr>
            </w:pPr>
            <w:r>
              <w:rPr>
                <w:rFonts w:ascii="Times New Roman" w:hAnsi="Times New Roman"/>
                <w:color w:val="002060"/>
                <w:sz w:val="24"/>
                <w:szCs w:val="24"/>
                <w:lang w:val="uk-UA"/>
              </w:rPr>
              <w:t>Додаток E – Матриця визначення ESG ризику</w:t>
            </w:r>
          </w:p>
        </w:tc>
        <w:tc>
          <w:tcPr>
            <w:tcW w:w="2126" w:type="dxa"/>
          </w:tcPr>
          <w:p w:rsidR="00506B88" w:rsidRDefault="0059340B" w:rsidP="008E5037">
            <w:pPr>
              <w:jc w:val="center"/>
              <w:rPr>
                <w:rFonts w:ascii="Times New Roman" w:eastAsia="Times New Roman" w:hAnsi="Times New Roman"/>
                <w:b/>
                <w:color w:val="002060"/>
                <w:sz w:val="24"/>
                <w:szCs w:val="24"/>
                <w:lang w:eastAsia="uk-UA"/>
              </w:rPr>
            </w:pPr>
            <w:r>
              <w:rPr>
                <w:rFonts w:ascii="Times New Roman" w:eastAsia="Times New Roman" w:hAnsi="Times New Roman" w:cs="Calibri"/>
                <w:b/>
                <w:color w:val="002060"/>
                <w:sz w:val="24"/>
                <w:szCs w:val="24"/>
                <w:lang w:val="uk-UA" w:eastAsia="uk-UA"/>
              </w:rPr>
              <w:object w:dxaOrig="1520" w:dyaOrig="987">
                <v:shape id="_x0000_i1035" type="#_x0000_t75" style="width:76.2pt;height:49.2pt" o:ole="">
                  <v:imagedata r:id="rId22" o:title=""/>
                </v:shape>
                <o:OLEObject Type="Embed" ProgID="Excel.Sheet.12" ShapeID="_x0000_i1035" DrawAspect="Icon" ObjectID="_1829195565" r:id="rId23"/>
              </w:object>
            </w:r>
            <w:r>
              <w:rPr>
                <w:rFonts w:ascii="Times New Roman" w:eastAsia="Times New Roman" w:hAnsi="Times New Roman"/>
                <w:b/>
                <w:color w:val="002060"/>
                <w:sz w:val="24"/>
                <w:szCs w:val="24"/>
                <w:lang w:eastAsia="uk-UA"/>
              </w:rPr>
              <w:pict w14:anchorId="0EE5378B">
                <v:shape id="_x0000_s1027" type="#_x0000_t75" style="position:absolute;left:0;text-align:left;margin-left:0;margin-top:0;width:50pt;height:50pt;z-index:251660288;visibility:hidden;mso-position-horizontal-relative:text;mso-position-vertical-relative:text" filled="t" stroked="t">
                  <v:stroke joinstyle="round"/>
                  <v:path o:extrusionok="t" gradientshapeok="f" o:connecttype="segments"/>
                  <o:lock v:ext="edit" aspectratio="f" selection="t"/>
                </v:shape>
              </w:pict>
            </w:r>
          </w:p>
        </w:tc>
      </w:tr>
    </w:tbl>
    <w:p w:rsidR="00506B88" w:rsidRDefault="00506B88">
      <w:pPr>
        <w:spacing w:after="0" w:line="240" w:lineRule="auto"/>
        <w:ind w:firstLine="426"/>
        <w:jc w:val="both"/>
        <w:rPr>
          <w:rFonts w:ascii="Times New Roman" w:eastAsia="Times New Roman" w:hAnsi="Times New Roman" w:cs="Times New Roman"/>
          <w:bCs/>
          <w:i/>
          <w:color w:val="002060"/>
          <w:sz w:val="24"/>
          <w:szCs w:val="24"/>
          <w:lang w:eastAsia="el-GR"/>
        </w:rPr>
      </w:pPr>
      <w:bookmarkStart w:id="22" w:name="_GoBack"/>
      <w:bookmarkEnd w:id="22"/>
    </w:p>
    <w:sectPr w:rsidR="00506B88">
      <w:headerReference w:type="default" r:id="rId24"/>
      <w:footerReference w:type="default" r:id="rId25"/>
      <w:headerReference w:type="first" r:id="rId26"/>
      <w:pgSz w:w="11906" w:h="16838"/>
      <w:pgMar w:top="964" w:right="567" w:bottom="850" w:left="1701" w:header="709" w:footer="709"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654AF2B2"/>
  <w16cid:commentId w16cid:paraId="00000002" w16cid:durableId="1A2DEA58"/>
  <w16cid:commentId w16cid:paraId="00000003" w16cid:durableId="0C0A5011"/>
  <w16cid:commentId w16cid:paraId="00000004" w16cid:durableId="1020CC53"/>
  <w16cid:commentId w16cid:paraId="00000005" w16cid:durableId="1DCCB722"/>
  <w16cid:commentId w16cid:paraId="00000006" w16cid:durableId="2FB2344C"/>
  <w16cid:commentId w16cid:paraId="00000007" w16cid:durableId="19DF8B5B"/>
  <w16cid:commentId w16cid:paraId="00000008" w16cid:durableId="5BB47AFB"/>
  <w16cid:commentId w16cid:paraId="00000009" w16cid:durableId="2B21E592"/>
  <w16cid:commentId w16cid:paraId="0000000A" w16cid:durableId="24272B52"/>
  <w16cid:commentId w16cid:paraId="0000000B" w16cid:durableId="692ADD93"/>
  <w16cid:commentId w16cid:paraId="0000000C" w16cid:durableId="5724315A"/>
  <w16cid:commentId w16cid:paraId="0000000D" w16cid:durableId="0C57BD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4E3" w:rsidRDefault="00E734E3">
      <w:pPr>
        <w:spacing w:after="0" w:line="240" w:lineRule="auto"/>
      </w:pPr>
      <w:r>
        <w:separator/>
      </w:r>
    </w:p>
  </w:endnote>
  <w:endnote w:type="continuationSeparator" w:id="0">
    <w:p w:rsidR="00E734E3" w:rsidRDefault="00E7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4E3" w:rsidRDefault="00E734E3">
    <w:pPr>
      <w:pStyle w:val="Footer"/>
      <w:jc w:val="right"/>
      <w:rPr>
        <w:color w:val="002060"/>
      </w:rPr>
    </w:pPr>
  </w:p>
  <w:p w:rsidR="00E734E3" w:rsidRDefault="00E73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4E3" w:rsidRDefault="00E734E3">
      <w:pPr>
        <w:spacing w:after="0" w:line="240" w:lineRule="auto"/>
      </w:pPr>
      <w:r>
        <w:separator/>
      </w:r>
    </w:p>
  </w:footnote>
  <w:footnote w:type="continuationSeparator" w:id="0">
    <w:p w:rsidR="00E734E3" w:rsidRDefault="00E73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106832"/>
      <w:docPartObj>
        <w:docPartGallery w:val="Page Numbers (Top of Page)"/>
        <w:docPartUnique/>
      </w:docPartObj>
    </w:sdtPr>
    <w:sdtEndPr/>
    <w:sdtContent>
      <w:p w:rsidR="00E734E3" w:rsidRDefault="00E734E3">
        <w:pPr>
          <w:pStyle w:val="Header"/>
          <w:jc w:val="center"/>
          <w:rPr>
            <w:rFonts w:ascii="Times New Roman" w:hAnsi="Times New Roman" w:cs="Times New Roman"/>
            <w:color w:val="1F497D"/>
            <w:sz w:val="24"/>
            <w:szCs w:val="24"/>
            <w:lang w:eastAsia="el-GR"/>
          </w:rPr>
        </w:pPr>
        <w:r>
          <w:rPr>
            <w:rFonts w:ascii="Times New Roman" w:hAnsi="Times New Roman" w:cs="Times New Roman"/>
            <w:color w:val="1F497D"/>
            <w:sz w:val="24"/>
            <w:szCs w:val="24"/>
            <w:lang w:eastAsia="el-GR"/>
          </w:rPr>
          <w:fldChar w:fldCharType="begin"/>
        </w:r>
        <w:r>
          <w:rPr>
            <w:rFonts w:ascii="Times New Roman" w:hAnsi="Times New Roman" w:cs="Times New Roman"/>
            <w:color w:val="1F497D"/>
            <w:sz w:val="24"/>
            <w:szCs w:val="24"/>
            <w:lang w:eastAsia="el-GR"/>
          </w:rPr>
          <w:instrText>PAGE   \* MERGEFORMAT</w:instrText>
        </w:r>
        <w:r>
          <w:rPr>
            <w:rFonts w:ascii="Times New Roman" w:hAnsi="Times New Roman" w:cs="Times New Roman"/>
            <w:color w:val="1F497D"/>
            <w:sz w:val="24"/>
            <w:szCs w:val="24"/>
            <w:lang w:eastAsia="el-GR"/>
          </w:rPr>
          <w:fldChar w:fldCharType="separate"/>
        </w:r>
        <w:r w:rsidR="0059340B">
          <w:rPr>
            <w:rFonts w:ascii="Times New Roman" w:hAnsi="Times New Roman" w:cs="Times New Roman"/>
            <w:noProof/>
            <w:color w:val="1F497D"/>
            <w:sz w:val="24"/>
            <w:szCs w:val="24"/>
            <w:lang w:eastAsia="el-GR"/>
          </w:rPr>
          <w:t>9</w:t>
        </w:r>
        <w:r>
          <w:rPr>
            <w:rFonts w:ascii="Times New Roman" w:hAnsi="Times New Roman" w:cs="Times New Roman"/>
            <w:color w:val="1F497D"/>
            <w:sz w:val="24"/>
            <w:szCs w:val="24"/>
            <w:lang w:eastAsia="el-GR"/>
          </w:rPr>
          <w:fldChar w:fldCharType="end"/>
        </w:r>
      </w:p>
      <w:tbl>
        <w:tblPr>
          <w:tblStyle w:val="TableGrid"/>
          <w:tblW w:w="9493" w:type="dxa"/>
          <w:jc w:val="center"/>
          <w:tblLook w:val="04A0" w:firstRow="1" w:lastRow="0" w:firstColumn="1" w:lastColumn="0" w:noHBand="0" w:noVBand="1"/>
        </w:tblPr>
        <w:tblGrid>
          <w:gridCol w:w="2122"/>
          <w:gridCol w:w="5811"/>
          <w:gridCol w:w="1560"/>
        </w:tblGrid>
        <w:tr w:rsidR="00E734E3">
          <w:trPr>
            <w:trHeight w:val="289"/>
            <w:jc w:val="center"/>
          </w:trPr>
          <w:tc>
            <w:tcPr>
              <w:tcW w:w="2122" w:type="dxa"/>
              <w:vMerge w:val="restart"/>
            </w:tcPr>
            <w:p w:rsidR="00E734E3" w:rsidRDefault="00E734E3">
              <w:r>
                <w:rPr>
                  <w:rFonts w:ascii="Arial" w:eastAsia="Times New Roman" w:hAnsi="Arial" w:cs="Arial"/>
                  <w:b/>
                  <w:bCs/>
                  <w:noProof/>
                  <w:color w:val="002060"/>
                  <w:sz w:val="20"/>
                  <w:lang w:eastAsia="uk-UA"/>
                </w:rPr>
                <mc:AlternateContent>
                  <mc:Choice Requires="wpg">
                    <w:drawing>
                      <wp:inline distT="0" distB="0" distL="0" distR="0">
                        <wp:extent cx="1028700" cy="349250"/>
                        <wp:effectExtent l="19050" t="0" r="0" b="0"/>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5"/>
                                <pic:cNvPicPr>
                                  <a:picLocks noChangeAspect="1"/>
                                </pic:cNvPicPr>
                              </pic:nvPicPr>
                              <pic:blipFill>
                                <a:blip r:embed="rId1"/>
                                <a:srcRect l="6847" t="12820" r="21317" b="17075"/>
                                <a:stretch/>
                              </pic:blipFill>
                              <pic:spPr bwMode="auto">
                                <a:xfrm>
                                  <a:off x="0" y="0"/>
                                  <a:ext cx="1028700" cy="349250"/>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81.0pt;height:27.5pt;" strokeweight="0.75pt">
                        <v:path textboxrect="0,0,0,0"/>
                        <v:imagedata r:id="rId2" o:title=""/>
                      </v:shape>
                    </w:pict>
                  </mc:Fallback>
                </mc:AlternateContent>
              </w:r>
            </w:p>
          </w:tc>
          <w:tc>
            <w:tcPr>
              <w:tcW w:w="5811" w:type="dxa"/>
            </w:tcPr>
            <w:p w:rsidR="00E734E3" w:rsidRDefault="00E734E3">
              <w:pPr>
                <w:ind w:left="-186"/>
                <w:jc w:val="center"/>
                <w:rPr>
                  <w:rFonts w:ascii="Times New Roman" w:hAnsi="Times New Roman"/>
                  <w:color w:val="002060"/>
                  <w:sz w:val="24"/>
                  <w:szCs w:val="24"/>
                  <w:lang w:val="uk-UA" w:eastAsia="el-GR"/>
                </w:rPr>
              </w:pPr>
              <w:r>
                <w:rPr>
                  <w:rFonts w:ascii="Times New Roman" w:hAnsi="Times New Roman"/>
                  <w:color w:val="1F497D"/>
                  <w:sz w:val="24"/>
                  <w:szCs w:val="24"/>
                  <w:lang w:val="uk-UA" w:eastAsia="el-GR"/>
                </w:rPr>
                <w:t xml:space="preserve"> Управління ризик-менеджменту</w:t>
              </w:r>
            </w:p>
          </w:tc>
          <w:tc>
            <w:tcPr>
              <w:tcW w:w="1560" w:type="dxa"/>
              <w:vMerge w:val="restart"/>
            </w:tcPr>
            <w:p w:rsidR="00E734E3" w:rsidRDefault="00E734E3">
              <w:pPr>
                <w:rPr>
                  <w:rFonts w:ascii="Arial" w:hAnsi="Arial" w:cs="Arial"/>
                  <w:sz w:val="20"/>
                  <w:szCs w:val="20"/>
                </w:rPr>
              </w:pPr>
            </w:p>
            <w:p w:rsidR="00E734E3" w:rsidRDefault="00E734E3">
              <w:pPr>
                <w:ind w:left="-186"/>
                <w:jc w:val="center"/>
                <w:rPr>
                  <w:rFonts w:ascii="Times New Roman" w:hAnsi="Times New Roman"/>
                  <w:color w:val="1F497D"/>
                  <w:sz w:val="24"/>
                  <w:szCs w:val="24"/>
                  <w:lang w:val="uk-UA" w:eastAsia="el-GR"/>
                </w:rPr>
              </w:pPr>
              <w:r>
                <w:rPr>
                  <w:rFonts w:ascii="Arial" w:hAnsi="Arial" w:cs="Arial"/>
                  <w:sz w:val="20"/>
                  <w:szCs w:val="20"/>
                </w:rPr>
                <w:t xml:space="preserve">   </w:t>
              </w:r>
              <w:r>
                <w:rPr>
                  <w:rFonts w:ascii="Times New Roman" w:hAnsi="Times New Roman"/>
                  <w:color w:val="1F497D"/>
                  <w:sz w:val="24"/>
                  <w:szCs w:val="24"/>
                  <w:lang w:val="uk-UA" w:eastAsia="el-GR"/>
                </w:rPr>
                <w:t>Код версії:</w:t>
              </w:r>
            </w:p>
            <w:p w:rsidR="00E734E3" w:rsidRDefault="00E734E3">
              <w:pPr>
                <w:ind w:left="-186"/>
                <w:jc w:val="center"/>
                <w:rPr>
                  <w:rFonts w:ascii="Arial" w:hAnsi="Arial" w:cs="Arial"/>
                  <w:sz w:val="20"/>
                  <w:szCs w:val="20"/>
                  <w:lang w:val="uk-UA"/>
                </w:rPr>
              </w:pPr>
              <w:r>
                <w:rPr>
                  <w:rFonts w:ascii="Times New Roman" w:hAnsi="Times New Roman"/>
                  <w:color w:val="1F497D"/>
                  <w:sz w:val="24"/>
                  <w:szCs w:val="24"/>
                  <w:lang w:val="uk-UA" w:eastAsia="el-GR"/>
                </w:rPr>
                <w:t>1196</w:t>
              </w:r>
              <w:r>
                <w:rPr>
                  <w:rFonts w:ascii="Arial" w:hAnsi="Arial" w:cs="Arial"/>
                  <w:sz w:val="20"/>
                  <w:szCs w:val="20"/>
                  <w:lang w:val="uk-UA"/>
                </w:rPr>
                <w:t xml:space="preserve"> </w:t>
              </w:r>
            </w:p>
          </w:tc>
        </w:tr>
        <w:tr w:rsidR="00E734E3">
          <w:trPr>
            <w:trHeight w:val="470"/>
            <w:jc w:val="center"/>
          </w:trPr>
          <w:tc>
            <w:tcPr>
              <w:tcW w:w="2122" w:type="dxa"/>
              <w:vMerge/>
              <w:tcBorders>
                <w:bottom w:val="single" w:sz="4" w:space="0" w:color="000000"/>
              </w:tcBorders>
            </w:tcPr>
            <w:p w:rsidR="00E734E3" w:rsidRDefault="00E734E3"/>
          </w:tc>
          <w:tc>
            <w:tcPr>
              <w:tcW w:w="5811" w:type="dxa"/>
              <w:tcBorders>
                <w:bottom w:val="single" w:sz="4" w:space="0" w:color="000000"/>
              </w:tcBorders>
              <w:vAlign w:val="center"/>
            </w:tcPr>
            <w:p w:rsidR="00E734E3" w:rsidRDefault="00E734E3">
              <w:pPr>
                <w:ind w:left="-186"/>
                <w:jc w:val="center"/>
                <w:rPr>
                  <w:rFonts w:ascii="Times New Roman" w:hAnsi="Times New Roman"/>
                  <w:color w:val="1F497D"/>
                  <w:sz w:val="24"/>
                  <w:szCs w:val="24"/>
                  <w:lang w:val="uk-UA" w:eastAsia="el-GR"/>
                </w:rPr>
              </w:pPr>
              <w:r>
                <w:rPr>
                  <w:rFonts w:ascii="Times New Roman" w:hAnsi="Times New Roman"/>
                  <w:color w:val="1F497D"/>
                  <w:sz w:val="24"/>
                  <w:szCs w:val="24"/>
                  <w:lang w:val="uk-UA" w:eastAsia="el-GR"/>
                </w:rPr>
                <w:t>Політика управління екологічними, соціальними та управлінськими ризиками АТ «ПІРЕУС БАНК МКБ»</w:t>
              </w:r>
            </w:p>
          </w:tc>
          <w:tc>
            <w:tcPr>
              <w:tcW w:w="1560" w:type="dxa"/>
              <w:vMerge/>
              <w:tcBorders>
                <w:bottom w:val="single" w:sz="4" w:space="0" w:color="000000"/>
              </w:tcBorders>
            </w:tcPr>
            <w:p w:rsidR="00E734E3" w:rsidRDefault="00E734E3"/>
          </w:tc>
        </w:tr>
      </w:tbl>
      <w:p w:rsidR="00E734E3" w:rsidRDefault="0059340B">
        <w:pPr>
          <w:pStyle w:val="Header"/>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2DD" w:rsidRDefault="00D00384">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E35"/>
    <w:multiLevelType w:val="multilevel"/>
    <w:tmpl w:val="0F0EDF00"/>
    <w:lvl w:ilvl="0">
      <w:start w:val="1"/>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i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1AE153B"/>
    <w:multiLevelType w:val="hybridMultilevel"/>
    <w:tmpl w:val="7BBA0ECA"/>
    <w:lvl w:ilvl="0" w:tplc="AB5A15F2">
      <w:start w:val="1"/>
      <w:numFmt w:val="decimal"/>
      <w:lvlText w:val="%1."/>
      <w:lvlJc w:val="left"/>
      <w:pPr>
        <w:ind w:left="927" w:hanging="360"/>
      </w:pPr>
      <w:rPr>
        <w:rFonts w:hint="default"/>
      </w:rPr>
    </w:lvl>
    <w:lvl w:ilvl="1" w:tplc="591A95AC">
      <w:start w:val="1"/>
      <w:numFmt w:val="lowerLetter"/>
      <w:lvlText w:val="%2."/>
      <w:lvlJc w:val="left"/>
      <w:pPr>
        <w:ind w:left="1647" w:hanging="360"/>
      </w:pPr>
    </w:lvl>
    <w:lvl w:ilvl="2" w:tplc="93F225B8">
      <w:start w:val="1"/>
      <w:numFmt w:val="lowerRoman"/>
      <w:lvlText w:val="%3."/>
      <w:lvlJc w:val="right"/>
      <w:pPr>
        <w:ind w:left="2367" w:hanging="180"/>
      </w:pPr>
    </w:lvl>
    <w:lvl w:ilvl="3" w:tplc="4C3AA3AE">
      <w:start w:val="1"/>
      <w:numFmt w:val="decimal"/>
      <w:lvlText w:val="%4."/>
      <w:lvlJc w:val="left"/>
      <w:pPr>
        <w:ind w:left="3087" w:hanging="360"/>
      </w:pPr>
    </w:lvl>
    <w:lvl w:ilvl="4" w:tplc="BDDEA8F8">
      <w:start w:val="1"/>
      <w:numFmt w:val="lowerLetter"/>
      <w:lvlText w:val="%5."/>
      <w:lvlJc w:val="left"/>
      <w:pPr>
        <w:ind w:left="3807" w:hanging="360"/>
      </w:pPr>
    </w:lvl>
    <w:lvl w:ilvl="5" w:tplc="B4D27956">
      <w:start w:val="1"/>
      <w:numFmt w:val="lowerRoman"/>
      <w:lvlText w:val="%6."/>
      <w:lvlJc w:val="right"/>
      <w:pPr>
        <w:ind w:left="4527" w:hanging="180"/>
      </w:pPr>
    </w:lvl>
    <w:lvl w:ilvl="6" w:tplc="59E66A0E">
      <w:start w:val="1"/>
      <w:numFmt w:val="decimal"/>
      <w:lvlText w:val="%7."/>
      <w:lvlJc w:val="left"/>
      <w:pPr>
        <w:ind w:left="5247" w:hanging="360"/>
      </w:pPr>
    </w:lvl>
    <w:lvl w:ilvl="7" w:tplc="2C2E4822">
      <w:start w:val="1"/>
      <w:numFmt w:val="lowerLetter"/>
      <w:lvlText w:val="%8."/>
      <w:lvlJc w:val="left"/>
      <w:pPr>
        <w:ind w:left="5967" w:hanging="360"/>
      </w:pPr>
    </w:lvl>
    <w:lvl w:ilvl="8" w:tplc="A366F118">
      <w:start w:val="1"/>
      <w:numFmt w:val="lowerRoman"/>
      <w:lvlText w:val="%9."/>
      <w:lvlJc w:val="right"/>
      <w:pPr>
        <w:ind w:left="6687" w:hanging="180"/>
      </w:pPr>
    </w:lvl>
  </w:abstractNum>
  <w:abstractNum w:abstractNumId="2" w15:restartNumberingAfterBreak="0">
    <w:nsid w:val="08E736DB"/>
    <w:multiLevelType w:val="multilevel"/>
    <w:tmpl w:val="BED0D1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95214"/>
    <w:multiLevelType w:val="hybridMultilevel"/>
    <w:tmpl w:val="1D384654"/>
    <w:lvl w:ilvl="0" w:tplc="8F24D2A2">
      <w:start w:val="1"/>
      <w:numFmt w:val="bullet"/>
      <w:lvlText w:val="-"/>
      <w:lvlJc w:val="left"/>
      <w:pPr>
        <w:ind w:left="1287" w:hanging="360"/>
      </w:pPr>
      <w:rPr>
        <w:rFonts w:ascii="Calibri" w:eastAsia="Calibri" w:hAnsi="Calibri" w:cs="Calibri" w:hint="default"/>
      </w:rPr>
    </w:lvl>
    <w:lvl w:ilvl="1" w:tplc="0C5A2C00">
      <w:start w:val="1"/>
      <w:numFmt w:val="bullet"/>
      <w:lvlText w:val="o"/>
      <w:lvlJc w:val="left"/>
      <w:pPr>
        <w:ind w:left="2007" w:hanging="360"/>
      </w:pPr>
      <w:rPr>
        <w:rFonts w:ascii="Courier New" w:hAnsi="Courier New" w:cs="Courier New" w:hint="default"/>
      </w:rPr>
    </w:lvl>
    <w:lvl w:ilvl="2" w:tplc="83C23FE2">
      <w:start w:val="1"/>
      <w:numFmt w:val="bullet"/>
      <w:lvlText w:val=""/>
      <w:lvlJc w:val="left"/>
      <w:pPr>
        <w:ind w:left="2727" w:hanging="360"/>
      </w:pPr>
      <w:rPr>
        <w:rFonts w:ascii="Wingdings" w:hAnsi="Wingdings" w:hint="default"/>
      </w:rPr>
    </w:lvl>
    <w:lvl w:ilvl="3" w:tplc="54AA8D50">
      <w:start w:val="1"/>
      <w:numFmt w:val="bullet"/>
      <w:lvlText w:val=""/>
      <w:lvlJc w:val="left"/>
      <w:pPr>
        <w:ind w:left="3447" w:hanging="360"/>
      </w:pPr>
      <w:rPr>
        <w:rFonts w:ascii="Symbol" w:hAnsi="Symbol" w:hint="default"/>
      </w:rPr>
    </w:lvl>
    <w:lvl w:ilvl="4" w:tplc="C3E270EE">
      <w:start w:val="1"/>
      <w:numFmt w:val="bullet"/>
      <w:lvlText w:val="o"/>
      <w:lvlJc w:val="left"/>
      <w:pPr>
        <w:ind w:left="4167" w:hanging="360"/>
      </w:pPr>
      <w:rPr>
        <w:rFonts w:ascii="Courier New" w:hAnsi="Courier New" w:cs="Courier New" w:hint="default"/>
      </w:rPr>
    </w:lvl>
    <w:lvl w:ilvl="5" w:tplc="B73C18D8">
      <w:start w:val="1"/>
      <w:numFmt w:val="bullet"/>
      <w:lvlText w:val=""/>
      <w:lvlJc w:val="left"/>
      <w:pPr>
        <w:ind w:left="4887" w:hanging="360"/>
      </w:pPr>
      <w:rPr>
        <w:rFonts w:ascii="Wingdings" w:hAnsi="Wingdings" w:hint="default"/>
      </w:rPr>
    </w:lvl>
    <w:lvl w:ilvl="6" w:tplc="808E6E86">
      <w:start w:val="1"/>
      <w:numFmt w:val="bullet"/>
      <w:lvlText w:val=""/>
      <w:lvlJc w:val="left"/>
      <w:pPr>
        <w:ind w:left="5607" w:hanging="360"/>
      </w:pPr>
      <w:rPr>
        <w:rFonts w:ascii="Symbol" w:hAnsi="Symbol" w:hint="default"/>
      </w:rPr>
    </w:lvl>
    <w:lvl w:ilvl="7" w:tplc="9B0CA09E">
      <w:start w:val="1"/>
      <w:numFmt w:val="bullet"/>
      <w:lvlText w:val="o"/>
      <w:lvlJc w:val="left"/>
      <w:pPr>
        <w:ind w:left="6327" w:hanging="360"/>
      </w:pPr>
      <w:rPr>
        <w:rFonts w:ascii="Courier New" w:hAnsi="Courier New" w:cs="Courier New" w:hint="default"/>
      </w:rPr>
    </w:lvl>
    <w:lvl w:ilvl="8" w:tplc="67C8FF32">
      <w:start w:val="1"/>
      <w:numFmt w:val="bullet"/>
      <w:lvlText w:val=""/>
      <w:lvlJc w:val="left"/>
      <w:pPr>
        <w:ind w:left="7047" w:hanging="360"/>
      </w:pPr>
      <w:rPr>
        <w:rFonts w:ascii="Wingdings" w:hAnsi="Wingdings" w:hint="default"/>
      </w:rPr>
    </w:lvl>
  </w:abstractNum>
  <w:abstractNum w:abstractNumId="4" w15:restartNumberingAfterBreak="0">
    <w:nsid w:val="12655A76"/>
    <w:multiLevelType w:val="hybridMultilevel"/>
    <w:tmpl w:val="557E3ECC"/>
    <w:lvl w:ilvl="0" w:tplc="65D86F9E">
      <w:start w:val="1"/>
      <w:numFmt w:val="bullet"/>
      <w:lvlText w:val=""/>
      <w:lvlJc w:val="left"/>
      <w:pPr>
        <w:tabs>
          <w:tab w:val="num" w:pos="720"/>
        </w:tabs>
        <w:ind w:left="720" w:hanging="360"/>
      </w:pPr>
      <w:rPr>
        <w:rFonts w:ascii="Symbol" w:hAnsi="Symbol" w:hint="default"/>
        <w:sz w:val="20"/>
      </w:rPr>
    </w:lvl>
    <w:lvl w:ilvl="1" w:tplc="726C0F3E">
      <w:start w:val="1"/>
      <w:numFmt w:val="bullet"/>
      <w:lvlText w:val="o"/>
      <w:lvlJc w:val="left"/>
      <w:pPr>
        <w:tabs>
          <w:tab w:val="num" w:pos="1440"/>
        </w:tabs>
        <w:ind w:left="1440" w:hanging="360"/>
      </w:pPr>
      <w:rPr>
        <w:rFonts w:ascii="Courier New" w:hAnsi="Courier New" w:hint="default"/>
        <w:sz w:val="20"/>
      </w:rPr>
    </w:lvl>
    <w:lvl w:ilvl="2" w:tplc="30520198">
      <w:start w:val="1"/>
      <w:numFmt w:val="bullet"/>
      <w:lvlText w:val=""/>
      <w:lvlJc w:val="left"/>
      <w:pPr>
        <w:tabs>
          <w:tab w:val="num" w:pos="2160"/>
        </w:tabs>
        <w:ind w:left="2160" w:hanging="360"/>
      </w:pPr>
      <w:rPr>
        <w:rFonts w:ascii="Wingdings" w:hAnsi="Wingdings" w:hint="default"/>
        <w:sz w:val="20"/>
      </w:rPr>
    </w:lvl>
    <w:lvl w:ilvl="3" w:tplc="908E0082">
      <w:start w:val="1"/>
      <w:numFmt w:val="bullet"/>
      <w:lvlText w:val=""/>
      <w:lvlJc w:val="left"/>
      <w:pPr>
        <w:tabs>
          <w:tab w:val="num" w:pos="2880"/>
        </w:tabs>
        <w:ind w:left="2880" w:hanging="360"/>
      </w:pPr>
      <w:rPr>
        <w:rFonts w:ascii="Wingdings" w:hAnsi="Wingdings" w:hint="default"/>
        <w:sz w:val="20"/>
      </w:rPr>
    </w:lvl>
    <w:lvl w:ilvl="4" w:tplc="B9C66336">
      <w:start w:val="1"/>
      <w:numFmt w:val="bullet"/>
      <w:lvlText w:val=""/>
      <w:lvlJc w:val="left"/>
      <w:pPr>
        <w:tabs>
          <w:tab w:val="num" w:pos="3600"/>
        </w:tabs>
        <w:ind w:left="3600" w:hanging="360"/>
      </w:pPr>
      <w:rPr>
        <w:rFonts w:ascii="Wingdings" w:hAnsi="Wingdings" w:hint="default"/>
        <w:sz w:val="20"/>
      </w:rPr>
    </w:lvl>
    <w:lvl w:ilvl="5" w:tplc="A28C87D8">
      <w:start w:val="1"/>
      <w:numFmt w:val="bullet"/>
      <w:lvlText w:val=""/>
      <w:lvlJc w:val="left"/>
      <w:pPr>
        <w:tabs>
          <w:tab w:val="num" w:pos="4320"/>
        </w:tabs>
        <w:ind w:left="4320" w:hanging="360"/>
      </w:pPr>
      <w:rPr>
        <w:rFonts w:ascii="Wingdings" w:hAnsi="Wingdings" w:hint="default"/>
        <w:sz w:val="20"/>
      </w:rPr>
    </w:lvl>
    <w:lvl w:ilvl="6" w:tplc="10B44EB8">
      <w:start w:val="1"/>
      <w:numFmt w:val="bullet"/>
      <w:lvlText w:val=""/>
      <w:lvlJc w:val="left"/>
      <w:pPr>
        <w:tabs>
          <w:tab w:val="num" w:pos="5040"/>
        </w:tabs>
        <w:ind w:left="5040" w:hanging="360"/>
      </w:pPr>
      <w:rPr>
        <w:rFonts w:ascii="Wingdings" w:hAnsi="Wingdings" w:hint="default"/>
        <w:sz w:val="20"/>
      </w:rPr>
    </w:lvl>
    <w:lvl w:ilvl="7" w:tplc="374CBACC">
      <w:start w:val="1"/>
      <w:numFmt w:val="bullet"/>
      <w:lvlText w:val=""/>
      <w:lvlJc w:val="left"/>
      <w:pPr>
        <w:tabs>
          <w:tab w:val="num" w:pos="5760"/>
        </w:tabs>
        <w:ind w:left="5760" w:hanging="360"/>
      </w:pPr>
      <w:rPr>
        <w:rFonts w:ascii="Wingdings" w:hAnsi="Wingdings" w:hint="default"/>
        <w:sz w:val="20"/>
      </w:rPr>
    </w:lvl>
    <w:lvl w:ilvl="8" w:tplc="B68C8CF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3054D"/>
    <w:multiLevelType w:val="hybridMultilevel"/>
    <w:tmpl w:val="1EC25A0C"/>
    <w:lvl w:ilvl="0" w:tplc="D6EE0056">
      <w:start w:val="1"/>
      <w:numFmt w:val="bullet"/>
      <w:lvlText w:val=""/>
      <w:lvlJc w:val="left"/>
      <w:pPr>
        <w:ind w:left="1287" w:hanging="360"/>
      </w:pPr>
      <w:rPr>
        <w:rFonts w:ascii="Symbol" w:hAnsi="Symbol" w:hint="default"/>
      </w:rPr>
    </w:lvl>
    <w:lvl w:ilvl="1" w:tplc="320C6DC4">
      <w:start w:val="1"/>
      <w:numFmt w:val="bullet"/>
      <w:lvlText w:val="o"/>
      <w:lvlJc w:val="left"/>
      <w:pPr>
        <w:ind w:left="2007" w:hanging="360"/>
      </w:pPr>
      <w:rPr>
        <w:rFonts w:ascii="Courier New" w:hAnsi="Courier New" w:cs="Courier New" w:hint="default"/>
      </w:rPr>
    </w:lvl>
    <w:lvl w:ilvl="2" w:tplc="7E96E176">
      <w:start w:val="1"/>
      <w:numFmt w:val="bullet"/>
      <w:lvlText w:val=""/>
      <w:lvlJc w:val="left"/>
      <w:pPr>
        <w:ind w:left="2727" w:hanging="360"/>
      </w:pPr>
      <w:rPr>
        <w:rFonts w:ascii="Wingdings" w:hAnsi="Wingdings" w:hint="default"/>
      </w:rPr>
    </w:lvl>
    <w:lvl w:ilvl="3" w:tplc="0E4E4BE6">
      <w:start w:val="1"/>
      <w:numFmt w:val="bullet"/>
      <w:lvlText w:val=""/>
      <w:lvlJc w:val="left"/>
      <w:pPr>
        <w:ind w:left="3447" w:hanging="360"/>
      </w:pPr>
      <w:rPr>
        <w:rFonts w:ascii="Symbol" w:hAnsi="Symbol" w:hint="default"/>
      </w:rPr>
    </w:lvl>
    <w:lvl w:ilvl="4" w:tplc="2BD02E36">
      <w:start w:val="1"/>
      <w:numFmt w:val="bullet"/>
      <w:lvlText w:val="o"/>
      <w:lvlJc w:val="left"/>
      <w:pPr>
        <w:ind w:left="4167" w:hanging="360"/>
      </w:pPr>
      <w:rPr>
        <w:rFonts w:ascii="Courier New" w:hAnsi="Courier New" w:cs="Courier New" w:hint="default"/>
      </w:rPr>
    </w:lvl>
    <w:lvl w:ilvl="5" w:tplc="3E909C14">
      <w:start w:val="1"/>
      <w:numFmt w:val="bullet"/>
      <w:lvlText w:val=""/>
      <w:lvlJc w:val="left"/>
      <w:pPr>
        <w:ind w:left="4887" w:hanging="360"/>
      </w:pPr>
      <w:rPr>
        <w:rFonts w:ascii="Wingdings" w:hAnsi="Wingdings" w:hint="default"/>
      </w:rPr>
    </w:lvl>
    <w:lvl w:ilvl="6" w:tplc="5B44A44A">
      <w:start w:val="1"/>
      <w:numFmt w:val="bullet"/>
      <w:lvlText w:val=""/>
      <w:lvlJc w:val="left"/>
      <w:pPr>
        <w:ind w:left="5607" w:hanging="360"/>
      </w:pPr>
      <w:rPr>
        <w:rFonts w:ascii="Symbol" w:hAnsi="Symbol" w:hint="default"/>
      </w:rPr>
    </w:lvl>
    <w:lvl w:ilvl="7" w:tplc="531265E2">
      <w:start w:val="1"/>
      <w:numFmt w:val="bullet"/>
      <w:lvlText w:val="o"/>
      <w:lvlJc w:val="left"/>
      <w:pPr>
        <w:ind w:left="6327" w:hanging="360"/>
      </w:pPr>
      <w:rPr>
        <w:rFonts w:ascii="Courier New" w:hAnsi="Courier New" w:cs="Courier New" w:hint="default"/>
      </w:rPr>
    </w:lvl>
    <w:lvl w:ilvl="8" w:tplc="2BDCF68A">
      <w:start w:val="1"/>
      <w:numFmt w:val="bullet"/>
      <w:lvlText w:val=""/>
      <w:lvlJc w:val="left"/>
      <w:pPr>
        <w:ind w:left="7047" w:hanging="360"/>
      </w:pPr>
      <w:rPr>
        <w:rFonts w:ascii="Wingdings" w:hAnsi="Wingdings" w:hint="default"/>
      </w:rPr>
    </w:lvl>
  </w:abstractNum>
  <w:abstractNum w:abstractNumId="6" w15:restartNumberingAfterBreak="0">
    <w:nsid w:val="1F71582B"/>
    <w:multiLevelType w:val="hybridMultilevel"/>
    <w:tmpl w:val="42D8EA98"/>
    <w:lvl w:ilvl="0" w:tplc="4984C1F4">
      <w:start w:val="1"/>
      <w:numFmt w:val="decimal"/>
      <w:lvlText w:val="%1."/>
      <w:lvlJc w:val="left"/>
      <w:pPr>
        <w:ind w:left="786" w:hanging="360"/>
      </w:pPr>
      <w:rPr>
        <w:rFonts w:hint="default"/>
      </w:rPr>
    </w:lvl>
    <w:lvl w:ilvl="1" w:tplc="2A5EDDB4">
      <w:start w:val="1"/>
      <w:numFmt w:val="lowerLetter"/>
      <w:lvlText w:val="%2."/>
      <w:lvlJc w:val="left"/>
      <w:pPr>
        <w:ind w:left="1506" w:hanging="360"/>
      </w:pPr>
    </w:lvl>
    <w:lvl w:ilvl="2" w:tplc="E7F08A16">
      <w:start w:val="1"/>
      <w:numFmt w:val="lowerRoman"/>
      <w:lvlText w:val="%3."/>
      <w:lvlJc w:val="right"/>
      <w:pPr>
        <w:ind w:left="2226" w:hanging="180"/>
      </w:pPr>
    </w:lvl>
    <w:lvl w:ilvl="3" w:tplc="F8D6C818">
      <w:start w:val="1"/>
      <w:numFmt w:val="decimal"/>
      <w:lvlText w:val="%4."/>
      <w:lvlJc w:val="left"/>
      <w:pPr>
        <w:ind w:left="2946" w:hanging="360"/>
      </w:pPr>
    </w:lvl>
    <w:lvl w:ilvl="4" w:tplc="E1F28F02">
      <w:start w:val="1"/>
      <w:numFmt w:val="lowerLetter"/>
      <w:lvlText w:val="%5."/>
      <w:lvlJc w:val="left"/>
      <w:pPr>
        <w:ind w:left="3666" w:hanging="360"/>
      </w:pPr>
    </w:lvl>
    <w:lvl w:ilvl="5" w:tplc="D87240EC">
      <w:start w:val="1"/>
      <w:numFmt w:val="lowerRoman"/>
      <w:lvlText w:val="%6."/>
      <w:lvlJc w:val="right"/>
      <w:pPr>
        <w:ind w:left="4386" w:hanging="180"/>
      </w:pPr>
    </w:lvl>
    <w:lvl w:ilvl="6" w:tplc="FE3E41F4">
      <w:start w:val="1"/>
      <w:numFmt w:val="decimal"/>
      <w:lvlText w:val="%7."/>
      <w:lvlJc w:val="left"/>
      <w:pPr>
        <w:ind w:left="5106" w:hanging="360"/>
      </w:pPr>
    </w:lvl>
    <w:lvl w:ilvl="7" w:tplc="9486618E">
      <w:start w:val="1"/>
      <w:numFmt w:val="lowerLetter"/>
      <w:lvlText w:val="%8."/>
      <w:lvlJc w:val="left"/>
      <w:pPr>
        <w:ind w:left="5826" w:hanging="360"/>
      </w:pPr>
    </w:lvl>
    <w:lvl w:ilvl="8" w:tplc="EB7A3B02">
      <w:start w:val="1"/>
      <w:numFmt w:val="lowerRoman"/>
      <w:lvlText w:val="%9."/>
      <w:lvlJc w:val="right"/>
      <w:pPr>
        <w:ind w:left="6546" w:hanging="180"/>
      </w:pPr>
    </w:lvl>
  </w:abstractNum>
  <w:abstractNum w:abstractNumId="7" w15:restartNumberingAfterBreak="0">
    <w:nsid w:val="27B74A01"/>
    <w:multiLevelType w:val="hybridMultilevel"/>
    <w:tmpl w:val="8B2A2C10"/>
    <w:lvl w:ilvl="0" w:tplc="E29AD46C">
      <w:start w:val="2"/>
      <w:numFmt w:val="bullet"/>
      <w:lvlText w:val="-"/>
      <w:lvlJc w:val="left"/>
      <w:pPr>
        <w:ind w:left="720" w:hanging="360"/>
      </w:pPr>
      <w:rPr>
        <w:rFonts w:ascii="Arial" w:eastAsia="Times New Roman" w:hAnsi="Arial" w:cs="Arial" w:hint="default"/>
      </w:rPr>
    </w:lvl>
    <w:lvl w:ilvl="1" w:tplc="B1CE9CB8">
      <w:start w:val="1"/>
      <w:numFmt w:val="bullet"/>
      <w:lvlText w:val="o"/>
      <w:lvlJc w:val="left"/>
      <w:pPr>
        <w:ind w:left="1440" w:hanging="360"/>
      </w:pPr>
      <w:rPr>
        <w:rFonts w:ascii="Courier New" w:hAnsi="Courier New" w:cs="Courier New" w:hint="default"/>
      </w:rPr>
    </w:lvl>
    <w:lvl w:ilvl="2" w:tplc="BE6E13D0">
      <w:start w:val="1"/>
      <w:numFmt w:val="bullet"/>
      <w:lvlText w:val=""/>
      <w:lvlJc w:val="left"/>
      <w:pPr>
        <w:ind w:left="2160" w:hanging="360"/>
      </w:pPr>
      <w:rPr>
        <w:rFonts w:ascii="Wingdings" w:hAnsi="Wingdings" w:hint="default"/>
      </w:rPr>
    </w:lvl>
    <w:lvl w:ilvl="3" w:tplc="75B05B02">
      <w:start w:val="1"/>
      <w:numFmt w:val="bullet"/>
      <w:lvlText w:val=""/>
      <w:lvlJc w:val="left"/>
      <w:pPr>
        <w:ind w:left="2880" w:hanging="360"/>
      </w:pPr>
      <w:rPr>
        <w:rFonts w:ascii="Symbol" w:hAnsi="Symbol" w:hint="default"/>
      </w:rPr>
    </w:lvl>
    <w:lvl w:ilvl="4" w:tplc="C570FC88">
      <w:start w:val="1"/>
      <w:numFmt w:val="bullet"/>
      <w:lvlText w:val="o"/>
      <w:lvlJc w:val="left"/>
      <w:pPr>
        <w:ind w:left="3600" w:hanging="360"/>
      </w:pPr>
      <w:rPr>
        <w:rFonts w:ascii="Courier New" w:hAnsi="Courier New" w:cs="Courier New" w:hint="default"/>
      </w:rPr>
    </w:lvl>
    <w:lvl w:ilvl="5" w:tplc="95EE3DCA">
      <w:start w:val="1"/>
      <w:numFmt w:val="bullet"/>
      <w:lvlText w:val=""/>
      <w:lvlJc w:val="left"/>
      <w:pPr>
        <w:ind w:left="4320" w:hanging="360"/>
      </w:pPr>
      <w:rPr>
        <w:rFonts w:ascii="Wingdings" w:hAnsi="Wingdings" w:hint="default"/>
      </w:rPr>
    </w:lvl>
    <w:lvl w:ilvl="6" w:tplc="BDDE647E">
      <w:start w:val="1"/>
      <w:numFmt w:val="bullet"/>
      <w:lvlText w:val=""/>
      <w:lvlJc w:val="left"/>
      <w:pPr>
        <w:ind w:left="5040" w:hanging="360"/>
      </w:pPr>
      <w:rPr>
        <w:rFonts w:ascii="Symbol" w:hAnsi="Symbol" w:hint="default"/>
      </w:rPr>
    </w:lvl>
    <w:lvl w:ilvl="7" w:tplc="93F8F81C">
      <w:start w:val="1"/>
      <w:numFmt w:val="bullet"/>
      <w:lvlText w:val="o"/>
      <w:lvlJc w:val="left"/>
      <w:pPr>
        <w:ind w:left="5760" w:hanging="360"/>
      </w:pPr>
      <w:rPr>
        <w:rFonts w:ascii="Courier New" w:hAnsi="Courier New" w:cs="Courier New" w:hint="default"/>
      </w:rPr>
    </w:lvl>
    <w:lvl w:ilvl="8" w:tplc="F970E186">
      <w:start w:val="1"/>
      <w:numFmt w:val="bullet"/>
      <w:lvlText w:val=""/>
      <w:lvlJc w:val="left"/>
      <w:pPr>
        <w:ind w:left="6480" w:hanging="360"/>
      </w:pPr>
      <w:rPr>
        <w:rFonts w:ascii="Wingdings" w:hAnsi="Wingdings" w:hint="default"/>
      </w:rPr>
    </w:lvl>
  </w:abstractNum>
  <w:abstractNum w:abstractNumId="8" w15:restartNumberingAfterBreak="0">
    <w:nsid w:val="2DB81F2C"/>
    <w:multiLevelType w:val="hybridMultilevel"/>
    <w:tmpl w:val="FEFA794A"/>
    <w:lvl w:ilvl="0" w:tplc="AFCCB170">
      <w:start w:val="1"/>
      <w:numFmt w:val="bullet"/>
      <w:lvlText w:val="-"/>
      <w:lvlJc w:val="left"/>
      <w:pPr>
        <w:ind w:left="1287" w:hanging="360"/>
      </w:pPr>
      <w:rPr>
        <w:rFonts w:ascii="Calibri" w:eastAsia="Calibri" w:hAnsi="Calibri" w:cs="Calibri" w:hint="default"/>
      </w:rPr>
    </w:lvl>
    <w:lvl w:ilvl="1" w:tplc="C5388730">
      <w:start w:val="1"/>
      <w:numFmt w:val="bullet"/>
      <w:lvlText w:val="o"/>
      <w:lvlJc w:val="left"/>
      <w:pPr>
        <w:ind w:left="2007" w:hanging="360"/>
      </w:pPr>
      <w:rPr>
        <w:rFonts w:ascii="Courier New" w:hAnsi="Courier New" w:cs="Courier New" w:hint="default"/>
      </w:rPr>
    </w:lvl>
    <w:lvl w:ilvl="2" w:tplc="A4B2C336">
      <w:start w:val="1"/>
      <w:numFmt w:val="bullet"/>
      <w:lvlText w:val=""/>
      <w:lvlJc w:val="left"/>
      <w:pPr>
        <w:ind w:left="2727" w:hanging="360"/>
      </w:pPr>
      <w:rPr>
        <w:rFonts w:ascii="Wingdings" w:hAnsi="Wingdings" w:hint="default"/>
      </w:rPr>
    </w:lvl>
    <w:lvl w:ilvl="3" w:tplc="71AE8796">
      <w:start w:val="1"/>
      <w:numFmt w:val="bullet"/>
      <w:lvlText w:val=""/>
      <w:lvlJc w:val="left"/>
      <w:pPr>
        <w:ind w:left="3447" w:hanging="360"/>
      </w:pPr>
      <w:rPr>
        <w:rFonts w:ascii="Symbol" w:hAnsi="Symbol" w:hint="default"/>
      </w:rPr>
    </w:lvl>
    <w:lvl w:ilvl="4" w:tplc="2CB6A588">
      <w:start w:val="1"/>
      <w:numFmt w:val="bullet"/>
      <w:lvlText w:val="o"/>
      <w:lvlJc w:val="left"/>
      <w:pPr>
        <w:ind w:left="4167" w:hanging="360"/>
      </w:pPr>
      <w:rPr>
        <w:rFonts w:ascii="Courier New" w:hAnsi="Courier New" w:cs="Courier New" w:hint="default"/>
      </w:rPr>
    </w:lvl>
    <w:lvl w:ilvl="5" w:tplc="F476FED6">
      <w:start w:val="1"/>
      <w:numFmt w:val="bullet"/>
      <w:lvlText w:val=""/>
      <w:lvlJc w:val="left"/>
      <w:pPr>
        <w:ind w:left="4887" w:hanging="360"/>
      </w:pPr>
      <w:rPr>
        <w:rFonts w:ascii="Wingdings" w:hAnsi="Wingdings" w:hint="default"/>
      </w:rPr>
    </w:lvl>
    <w:lvl w:ilvl="6" w:tplc="F9DAED2C">
      <w:start w:val="1"/>
      <w:numFmt w:val="bullet"/>
      <w:lvlText w:val=""/>
      <w:lvlJc w:val="left"/>
      <w:pPr>
        <w:ind w:left="5607" w:hanging="360"/>
      </w:pPr>
      <w:rPr>
        <w:rFonts w:ascii="Symbol" w:hAnsi="Symbol" w:hint="default"/>
      </w:rPr>
    </w:lvl>
    <w:lvl w:ilvl="7" w:tplc="4D6A2F80">
      <w:start w:val="1"/>
      <w:numFmt w:val="bullet"/>
      <w:lvlText w:val="o"/>
      <w:lvlJc w:val="left"/>
      <w:pPr>
        <w:ind w:left="6327" w:hanging="360"/>
      </w:pPr>
      <w:rPr>
        <w:rFonts w:ascii="Courier New" w:hAnsi="Courier New" w:cs="Courier New" w:hint="default"/>
      </w:rPr>
    </w:lvl>
    <w:lvl w:ilvl="8" w:tplc="B91E3540">
      <w:start w:val="1"/>
      <w:numFmt w:val="bullet"/>
      <w:lvlText w:val=""/>
      <w:lvlJc w:val="left"/>
      <w:pPr>
        <w:ind w:left="7047" w:hanging="360"/>
      </w:pPr>
      <w:rPr>
        <w:rFonts w:ascii="Wingdings" w:hAnsi="Wingdings" w:hint="default"/>
      </w:rPr>
    </w:lvl>
  </w:abstractNum>
  <w:abstractNum w:abstractNumId="9" w15:restartNumberingAfterBreak="0">
    <w:nsid w:val="2E3E2CA8"/>
    <w:multiLevelType w:val="hybridMultilevel"/>
    <w:tmpl w:val="D7E87874"/>
    <w:lvl w:ilvl="0" w:tplc="78F2446C">
      <w:start w:val="3"/>
      <w:numFmt w:val="upperLett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2FB1056"/>
    <w:multiLevelType w:val="hybridMultilevel"/>
    <w:tmpl w:val="AF224AD8"/>
    <w:lvl w:ilvl="0" w:tplc="D4DC7A20">
      <w:start w:val="1"/>
      <w:numFmt w:val="bullet"/>
      <w:lvlText w:val=""/>
      <w:lvlJc w:val="left"/>
      <w:pPr>
        <w:ind w:left="720" w:hanging="360"/>
      </w:pPr>
      <w:rPr>
        <w:rFonts w:ascii="Symbol" w:hAnsi="Symbol" w:hint="default"/>
      </w:rPr>
    </w:lvl>
    <w:lvl w:ilvl="1" w:tplc="B00A01D4">
      <w:start w:val="1"/>
      <w:numFmt w:val="bullet"/>
      <w:lvlText w:val="o"/>
      <w:lvlJc w:val="left"/>
      <w:pPr>
        <w:ind w:left="1440" w:hanging="360"/>
      </w:pPr>
      <w:rPr>
        <w:rFonts w:ascii="Courier New" w:hAnsi="Courier New" w:cs="Courier New" w:hint="default"/>
      </w:rPr>
    </w:lvl>
    <w:lvl w:ilvl="2" w:tplc="65F60906">
      <w:start w:val="1"/>
      <w:numFmt w:val="bullet"/>
      <w:lvlText w:val=""/>
      <w:lvlJc w:val="left"/>
      <w:pPr>
        <w:ind w:left="2160" w:hanging="360"/>
      </w:pPr>
      <w:rPr>
        <w:rFonts w:ascii="Wingdings" w:hAnsi="Wingdings" w:hint="default"/>
      </w:rPr>
    </w:lvl>
    <w:lvl w:ilvl="3" w:tplc="7CAAF9D4">
      <w:start w:val="1"/>
      <w:numFmt w:val="bullet"/>
      <w:lvlText w:val=""/>
      <w:lvlJc w:val="left"/>
      <w:pPr>
        <w:ind w:left="2880" w:hanging="360"/>
      </w:pPr>
      <w:rPr>
        <w:rFonts w:ascii="Symbol" w:hAnsi="Symbol" w:hint="default"/>
      </w:rPr>
    </w:lvl>
    <w:lvl w:ilvl="4" w:tplc="DCDEEDAE">
      <w:start w:val="1"/>
      <w:numFmt w:val="bullet"/>
      <w:lvlText w:val="o"/>
      <w:lvlJc w:val="left"/>
      <w:pPr>
        <w:ind w:left="3600" w:hanging="360"/>
      </w:pPr>
      <w:rPr>
        <w:rFonts w:ascii="Courier New" w:hAnsi="Courier New" w:cs="Courier New" w:hint="default"/>
      </w:rPr>
    </w:lvl>
    <w:lvl w:ilvl="5" w:tplc="C9BE0A26">
      <w:start w:val="1"/>
      <w:numFmt w:val="bullet"/>
      <w:lvlText w:val=""/>
      <w:lvlJc w:val="left"/>
      <w:pPr>
        <w:ind w:left="4320" w:hanging="360"/>
      </w:pPr>
      <w:rPr>
        <w:rFonts w:ascii="Wingdings" w:hAnsi="Wingdings" w:hint="default"/>
      </w:rPr>
    </w:lvl>
    <w:lvl w:ilvl="6" w:tplc="9B3E0C1C">
      <w:start w:val="1"/>
      <w:numFmt w:val="bullet"/>
      <w:lvlText w:val=""/>
      <w:lvlJc w:val="left"/>
      <w:pPr>
        <w:ind w:left="5040" w:hanging="360"/>
      </w:pPr>
      <w:rPr>
        <w:rFonts w:ascii="Symbol" w:hAnsi="Symbol" w:hint="default"/>
      </w:rPr>
    </w:lvl>
    <w:lvl w:ilvl="7" w:tplc="E2767430">
      <w:start w:val="1"/>
      <w:numFmt w:val="bullet"/>
      <w:lvlText w:val="o"/>
      <w:lvlJc w:val="left"/>
      <w:pPr>
        <w:ind w:left="5760" w:hanging="360"/>
      </w:pPr>
      <w:rPr>
        <w:rFonts w:ascii="Courier New" w:hAnsi="Courier New" w:cs="Courier New" w:hint="default"/>
      </w:rPr>
    </w:lvl>
    <w:lvl w:ilvl="8" w:tplc="B9F43426">
      <w:start w:val="1"/>
      <w:numFmt w:val="bullet"/>
      <w:lvlText w:val=""/>
      <w:lvlJc w:val="left"/>
      <w:pPr>
        <w:ind w:left="6480" w:hanging="360"/>
      </w:pPr>
      <w:rPr>
        <w:rFonts w:ascii="Wingdings" w:hAnsi="Wingdings" w:hint="default"/>
      </w:rPr>
    </w:lvl>
  </w:abstractNum>
  <w:abstractNum w:abstractNumId="11" w15:restartNumberingAfterBreak="0">
    <w:nsid w:val="361572CE"/>
    <w:multiLevelType w:val="hybridMultilevel"/>
    <w:tmpl w:val="32B4769A"/>
    <w:lvl w:ilvl="0" w:tplc="9258C94A">
      <w:start w:val="1"/>
      <w:numFmt w:val="decimal"/>
      <w:lvlText w:val="%1."/>
      <w:lvlJc w:val="left"/>
      <w:pPr>
        <w:ind w:left="927" w:hanging="360"/>
      </w:pPr>
      <w:rPr>
        <w:rFonts w:hint="default"/>
      </w:rPr>
    </w:lvl>
    <w:lvl w:ilvl="1" w:tplc="B8AAE2E0">
      <w:start w:val="1"/>
      <w:numFmt w:val="lowerLetter"/>
      <w:lvlText w:val="%2."/>
      <w:lvlJc w:val="left"/>
      <w:pPr>
        <w:ind w:left="1647" w:hanging="360"/>
      </w:pPr>
    </w:lvl>
    <w:lvl w:ilvl="2" w:tplc="3C4CC3A2">
      <w:start w:val="1"/>
      <w:numFmt w:val="lowerRoman"/>
      <w:lvlText w:val="%3."/>
      <w:lvlJc w:val="right"/>
      <w:pPr>
        <w:ind w:left="2367" w:hanging="180"/>
      </w:pPr>
    </w:lvl>
    <w:lvl w:ilvl="3" w:tplc="9B4C3C80">
      <w:start w:val="1"/>
      <w:numFmt w:val="decimal"/>
      <w:lvlText w:val="%4."/>
      <w:lvlJc w:val="left"/>
      <w:pPr>
        <w:ind w:left="3087" w:hanging="360"/>
      </w:pPr>
    </w:lvl>
    <w:lvl w:ilvl="4" w:tplc="5BD8F734">
      <w:start w:val="1"/>
      <w:numFmt w:val="lowerLetter"/>
      <w:lvlText w:val="%5."/>
      <w:lvlJc w:val="left"/>
      <w:pPr>
        <w:ind w:left="3807" w:hanging="360"/>
      </w:pPr>
    </w:lvl>
    <w:lvl w:ilvl="5" w:tplc="40205D62">
      <w:start w:val="1"/>
      <w:numFmt w:val="lowerRoman"/>
      <w:lvlText w:val="%6."/>
      <w:lvlJc w:val="right"/>
      <w:pPr>
        <w:ind w:left="4527" w:hanging="180"/>
      </w:pPr>
    </w:lvl>
    <w:lvl w:ilvl="6" w:tplc="16D8A57E">
      <w:start w:val="1"/>
      <w:numFmt w:val="decimal"/>
      <w:lvlText w:val="%7."/>
      <w:lvlJc w:val="left"/>
      <w:pPr>
        <w:ind w:left="5247" w:hanging="360"/>
      </w:pPr>
    </w:lvl>
    <w:lvl w:ilvl="7" w:tplc="6C30DE74">
      <w:start w:val="1"/>
      <w:numFmt w:val="lowerLetter"/>
      <w:lvlText w:val="%8."/>
      <w:lvlJc w:val="left"/>
      <w:pPr>
        <w:ind w:left="5967" w:hanging="360"/>
      </w:pPr>
    </w:lvl>
    <w:lvl w:ilvl="8" w:tplc="C9183460">
      <w:start w:val="1"/>
      <w:numFmt w:val="lowerRoman"/>
      <w:lvlText w:val="%9."/>
      <w:lvlJc w:val="right"/>
      <w:pPr>
        <w:ind w:left="6687" w:hanging="180"/>
      </w:pPr>
    </w:lvl>
  </w:abstractNum>
  <w:abstractNum w:abstractNumId="12" w15:restartNumberingAfterBreak="0">
    <w:nsid w:val="3B1F53AB"/>
    <w:multiLevelType w:val="hybridMultilevel"/>
    <w:tmpl w:val="1136CAE6"/>
    <w:lvl w:ilvl="0" w:tplc="7876D286">
      <w:start w:val="1"/>
      <w:numFmt w:val="bullet"/>
      <w:lvlText w:val=""/>
      <w:lvlJc w:val="left"/>
      <w:pPr>
        <w:tabs>
          <w:tab w:val="num" w:pos="720"/>
        </w:tabs>
        <w:ind w:left="720" w:hanging="360"/>
      </w:pPr>
      <w:rPr>
        <w:rFonts w:ascii="Symbol" w:hAnsi="Symbol" w:hint="default"/>
        <w:sz w:val="20"/>
      </w:rPr>
    </w:lvl>
    <w:lvl w:ilvl="1" w:tplc="D4EAAE7C">
      <w:start w:val="1"/>
      <w:numFmt w:val="bullet"/>
      <w:lvlText w:val="o"/>
      <w:lvlJc w:val="left"/>
      <w:pPr>
        <w:tabs>
          <w:tab w:val="num" w:pos="1440"/>
        </w:tabs>
        <w:ind w:left="1440" w:hanging="360"/>
      </w:pPr>
      <w:rPr>
        <w:rFonts w:ascii="Courier New" w:hAnsi="Courier New" w:hint="default"/>
        <w:sz w:val="20"/>
      </w:rPr>
    </w:lvl>
    <w:lvl w:ilvl="2" w:tplc="3F0AD6E0">
      <w:start w:val="1"/>
      <w:numFmt w:val="bullet"/>
      <w:lvlText w:val=""/>
      <w:lvlJc w:val="left"/>
      <w:pPr>
        <w:tabs>
          <w:tab w:val="num" w:pos="2160"/>
        </w:tabs>
        <w:ind w:left="2160" w:hanging="360"/>
      </w:pPr>
      <w:rPr>
        <w:rFonts w:ascii="Wingdings" w:hAnsi="Wingdings" w:hint="default"/>
        <w:sz w:val="20"/>
      </w:rPr>
    </w:lvl>
    <w:lvl w:ilvl="3" w:tplc="0C1C1254">
      <w:start w:val="1"/>
      <w:numFmt w:val="bullet"/>
      <w:lvlText w:val=""/>
      <w:lvlJc w:val="left"/>
      <w:pPr>
        <w:tabs>
          <w:tab w:val="num" w:pos="2880"/>
        </w:tabs>
        <w:ind w:left="2880" w:hanging="360"/>
      </w:pPr>
      <w:rPr>
        <w:rFonts w:ascii="Wingdings" w:hAnsi="Wingdings" w:hint="default"/>
        <w:sz w:val="20"/>
      </w:rPr>
    </w:lvl>
    <w:lvl w:ilvl="4" w:tplc="75B4FCC4">
      <w:start w:val="1"/>
      <w:numFmt w:val="bullet"/>
      <w:lvlText w:val=""/>
      <w:lvlJc w:val="left"/>
      <w:pPr>
        <w:tabs>
          <w:tab w:val="num" w:pos="3600"/>
        </w:tabs>
        <w:ind w:left="3600" w:hanging="360"/>
      </w:pPr>
      <w:rPr>
        <w:rFonts w:ascii="Wingdings" w:hAnsi="Wingdings" w:hint="default"/>
        <w:sz w:val="20"/>
      </w:rPr>
    </w:lvl>
    <w:lvl w:ilvl="5" w:tplc="8402B060">
      <w:start w:val="1"/>
      <w:numFmt w:val="bullet"/>
      <w:lvlText w:val=""/>
      <w:lvlJc w:val="left"/>
      <w:pPr>
        <w:tabs>
          <w:tab w:val="num" w:pos="4320"/>
        </w:tabs>
        <w:ind w:left="4320" w:hanging="360"/>
      </w:pPr>
      <w:rPr>
        <w:rFonts w:ascii="Wingdings" w:hAnsi="Wingdings" w:hint="default"/>
        <w:sz w:val="20"/>
      </w:rPr>
    </w:lvl>
    <w:lvl w:ilvl="6" w:tplc="D3446E7A">
      <w:start w:val="1"/>
      <w:numFmt w:val="bullet"/>
      <w:lvlText w:val=""/>
      <w:lvlJc w:val="left"/>
      <w:pPr>
        <w:tabs>
          <w:tab w:val="num" w:pos="5040"/>
        </w:tabs>
        <w:ind w:left="5040" w:hanging="360"/>
      </w:pPr>
      <w:rPr>
        <w:rFonts w:ascii="Wingdings" w:hAnsi="Wingdings" w:hint="default"/>
        <w:sz w:val="20"/>
      </w:rPr>
    </w:lvl>
    <w:lvl w:ilvl="7" w:tplc="A06E17A0">
      <w:start w:val="1"/>
      <w:numFmt w:val="bullet"/>
      <w:lvlText w:val=""/>
      <w:lvlJc w:val="left"/>
      <w:pPr>
        <w:tabs>
          <w:tab w:val="num" w:pos="5760"/>
        </w:tabs>
        <w:ind w:left="5760" w:hanging="360"/>
      </w:pPr>
      <w:rPr>
        <w:rFonts w:ascii="Wingdings" w:hAnsi="Wingdings" w:hint="default"/>
        <w:sz w:val="20"/>
      </w:rPr>
    </w:lvl>
    <w:lvl w:ilvl="8" w:tplc="CF9AE1B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E5FE1"/>
    <w:multiLevelType w:val="hybridMultilevel"/>
    <w:tmpl w:val="F230A0A4"/>
    <w:lvl w:ilvl="0" w:tplc="394A27EA">
      <w:start w:val="1"/>
      <w:numFmt w:val="bullet"/>
      <w:lvlText w:val=""/>
      <w:lvlJc w:val="left"/>
      <w:pPr>
        <w:ind w:left="1287" w:hanging="360"/>
      </w:pPr>
      <w:rPr>
        <w:rFonts w:ascii="Wingdings" w:hAnsi="Wingdings" w:hint="default"/>
      </w:rPr>
    </w:lvl>
    <w:lvl w:ilvl="1" w:tplc="8E48016A">
      <w:start w:val="1"/>
      <w:numFmt w:val="bullet"/>
      <w:lvlText w:val="o"/>
      <w:lvlJc w:val="left"/>
      <w:pPr>
        <w:ind w:left="2007" w:hanging="360"/>
      </w:pPr>
      <w:rPr>
        <w:rFonts w:ascii="Courier New" w:hAnsi="Courier New" w:cs="Courier New" w:hint="default"/>
      </w:rPr>
    </w:lvl>
    <w:lvl w:ilvl="2" w:tplc="9CFA9A2A">
      <w:start w:val="1"/>
      <w:numFmt w:val="bullet"/>
      <w:lvlText w:val=""/>
      <w:lvlJc w:val="left"/>
      <w:pPr>
        <w:ind w:left="2727" w:hanging="360"/>
      </w:pPr>
      <w:rPr>
        <w:rFonts w:ascii="Wingdings" w:hAnsi="Wingdings" w:hint="default"/>
      </w:rPr>
    </w:lvl>
    <w:lvl w:ilvl="3" w:tplc="B4EE92DC">
      <w:start w:val="1"/>
      <w:numFmt w:val="bullet"/>
      <w:lvlText w:val=""/>
      <w:lvlJc w:val="left"/>
      <w:pPr>
        <w:ind w:left="3447" w:hanging="360"/>
      </w:pPr>
      <w:rPr>
        <w:rFonts w:ascii="Symbol" w:hAnsi="Symbol" w:hint="default"/>
      </w:rPr>
    </w:lvl>
    <w:lvl w:ilvl="4" w:tplc="93E8CA8A">
      <w:start w:val="1"/>
      <w:numFmt w:val="bullet"/>
      <w:lvlText w:val="o"/>
      <w:lvlJc w:val="left"/>
      <w:pPr>
        <w:ind w:left="4167" w:hanging="360"/>
      </w:pPr>
      <w:rPr>
        <w:rFonts w:ascii="Courier New" w:hAnsi="Courier New" w:cs="Courier New" w:hint="default"/>
      </w:rPr>
    </w:lvl>
    <w:lvl w:ilvl="5" w:tplc="A1A00638">
      <w:start w:val="1"/>
      <w:numFmt w:val="bullet"/>
      <w:lvlText w:val=""/>
      <w:lvlJc w:val="left"/>
      <w:pPr>
        <w:ind w:left="4887" w:hanging="360"/>
      </w:pPr>
      <w:rPr>
        <w:rFonts w:ascii="Wingdings" w:hAnsi="Wingdings" w:hint="default"/>
      </w:rPr>
    </w:lvl>
    <w:lvl w:ilvl="6" w:tplc="CBB8D2DA">
      <w:start w:val="1"/>
      <w:numFmt w:val="bullet"/>
      <w:lvlText w:val=""/>
      <w:lvlJc w:val="left"/>
      <w:pPr>
        <w:ind w:left="5607" w:hanging="360"/>
      </w:pPr>
      <w:rPr>
        <w:rFonts w:ascii="Symbol" w:hAnsi="Symbol" w:hint="default"/>
      </w:rPr>
    </w:lvl>
    <w:lvl w:ilvl="7" w:tplc="A6DCCEDE">
      <w:start w:val="1"/>
      <w:numFmt w:val="bullet"/>
      <w:lvlText w:val="o"/>
      <w:lvlJc w:val="left"/>
      <w:pPr>
        <w:ind w:left="6327" w:hanging="360"/>
      </w:pPr>
      <w:rPr>
        <w:rFonts w:ascii="Courier New" w:hAnsi="Courier New" w:cs="Courier New" w:hint="default"/>
      </w:rPr>
    </w:lvl>
    <w:lvl w:ilvl="8" w:tplc="CFE2A13A">
      <w:start w:val="1"/>
      <w:numFmt w:val="bullet"/>
      <w:lvlText w:val=""/>
      <w:lvlJc w:val="left"/>
      <w:pPr>
        <w:ind w:left="7047" w:hanging="360"/>
      </w:pPr>
      <w:rPr>
        <w:rFonts w:ascii="Wingdings" w:hAnsi="Wingdings" w:hint="default"/>
      </w:rPr>
    </w:lvl>
  </w:abstractNum>
  <w:abstractNum w:abstractNumId="14" w15:restartNumberingAfterBreak="0">
    <w:nsid w:val="49CF4DDF"/>
    <w:multiLevelType w:val="hybridMultilevel"/>
    <w:tmpl w:val="430221C8"/>
    <w:lvl w:ilvl="0" w:tplc="79E48ABC">
      <w:start w:val="1"/>
      <w:numFmt w:val="bullet"/>
      <w:lvlText w:val="-"/>
      <w:lvlJc w:val="left"/>
      <w:pPr>
        <w:ind w:left="1287" w:hanging="360"/>
      </w:pPr>
      <w:rPr>
        <w:rFonts w:ascii="Calibri" w:eastAsia="Calibri" w:hAnsi="Calibri" w:cs="Calibri" w:hint="default"/>
      </w:rPr>
    </w:lvl>
    <w:lvl w:ilvl="1" w:tplc="B404A9A2">
      <w:start w:val="1"/>
      <w:numFmt w:val="bullet"/>
      <w:lvlText w:val="o"/>
      <w:lvlJc w:val="left"/>
      <w:pPr>
        <w:ind w:left="2007" w:hanging="360"/>
      </w:pPr>
      <w:rPr>
        <w:rFonts w:ascii="Courier New" w:hAnsi="Courier New" w:cs="Courier New" w:hint="default"/>
      </w:rPr>
    </w:lvl>
    <w:lvl w:ilvl="2" w:tplc="5FC6A568">
      <w:start w:val="1"/>
      <w:numFmt w:val="bullet"/>
      <w:lvlText w:val=""/>
      <w:lvlJc w:val="left"/>
      <w:pPr>
        <w:ind w:left="2727" w:hanging="360"/>
      </w:pPr>
      <w:rPr>
        <w:rFonts w:ascii="Wingdings" w:hAnsi="Wingdings" w:hint="default"/>
      </w:rPr>
    </w:lvl>
    <w:lvl w:ilvl="3" w:tplc="2724EE26">
      <w:start w:val="1"/>
      <w:numFmt w:val="bullet"/>
      <w:lvlText w:val=""/>
      <w:lvlJc w:val="left"/>
      <w:pPr>
        <w:ind w:left="3447" w:hanging="360"/>
      </w:pPr>
      <w:rPr>
        <w:rFonts w:ascii="Symbol" w:hAnsi="Symbol" w:hint="default"/>
      </w:rPr>
    </w:lvl>
    <w:lvl w:ilvl="4" w:tplc="D6D64EC0">
      <w:start w:val="1"/>
      <w:numFmt w:val="bullet"/>
      <w:lvlText w:val="o"/>
      <w:lvlJc w:val="left"/>
      <w:pPr>
        <w:ind w:left="4167" w:hanging="360"/>
      </w:pPr>
      <w:rPr>
        <w:rFonts w:ascii="Courier New" w:hAnsi="Courier New" w:cs="Courier New" w:hint="default"/>
      </w:rPr>
    </w:lvl>
    <w:lvl w:ilvl="5" w:tplc="AB50CDDA">
      <w:start w:val="1"/>
      <w:numFmt w:val="bullet"/>
      <w:lvlText w:val=""/>
      <w:lvlJc w:val="left"/>
      <w:pPr>
        <w:ind w:left="4887" w:hanging="360"/>
      </w:pPr>
      <w:rPr>
        <w:rFonts w:ascii="Wingdings" w:hAnsi="Wingdings" w:hint="default"/>
      </w:rPr>
    </w:lvl>
    <w:lvl w:ilvl="6" w:tplc="A3CA08EC">
      <w:start w:val="1"/>
      <w:numFmt w:val="bullet"/>
      <w:lvlText w:val=""/>
      <w:lvlJc w:val="left"/>
      <w:pPr>
        <w:ind w:left="5607" w:hanging="360"/>
      </w:pPr>
      <w:rPr>
        <w:rFonts w:ascii="Symbol" w:hAnsi="Symbol" w:hint="default"/>
      </w:rPr>
    </w:lvl>
    <w:lvl w:ilvl="7" w:tplc="A0B015AC">
      <w:start w:val="1"/>
      <w:numFmt w:val="bullet"/>
      <w:lvlText w:val="o"/>
      <w:lvlJc w:val="left"/>
      <w:pPr>
        <w:ind w:left="6327" w:hanging="360"/>
      </w:pPr>
      <w:rPr>
        <w:rFonts w:ascii="Courier New" w:hAnsi="Courier New" w:cs="Courier New" w:hint="default"/>
      </w:rPr>
    </w:lvl>
    <w:lvl w:ilvl="8" w:tplc="E5D0156A">
      <w:start w:val="1"/>
      <w:numFmt w:val="bullet"/>
      <w:lvlText w:val=""/>
      <w:lvlJc w:val="left"/>
      <w:pPr>
        <w:ind w:left="7047" w:hanging="360"/>
      </w:pPr>
      <w:rPr>
        <w:rFonts w:ascii="Wingdings" w:hAnsi="Wingdings" w:hint="default"/>
      </w:rPr>
    </w:lvl>
  </w:abstractNum>
  <w:abstractNum w:abstractNumId="15" w15:restartNumberingAfterBreak="0">
    <w:nsid w:val="4FCF037B"/>
    <w:multiLevelType w:val="hybridMultilevel"/>
    <w:tmpl w:val="8E8AB4EA"/>
    <w:lvl w:ilvl="0" w:tplc="E2A6766A">
      <w:start w:val="1"/>
      <w:numFmt w:val="bullet"/>
      <w:lvlText w:val="-"/>
      <w:lvlJc w:val="left"/>
      <w:pPr>
        <w:ind w:left="1287" w:hanging="360"/>
      </w:pPr>
      <w:rPr>
        <w:rFonts w:ascii="Calibri" w:eastAsia="Calibri" w:hAnsi="Calibri" w:cs="Calibri" w:hint="default"/>
      </w:rPr>
    </w:lvl>
    <w:lvl w:ilvl="1" w:tplc="481A6126">
      <w:start w:val="1"/>
      <w:numFmt w:val="bullet"/>
      <w:lvlText w:val="o"/>
      <w:lvlJc w:val="left"/>
      <w:pPr>
        <w:ind w:left="2007" w:hanging="360"/>
      </w:pPr>
      <w:rPr>
        <w:rFonts w:ascii="Courier New" w:hAnsi="Courier New" w:cs="Courier New" w:hint="default"/>
      </w:rPr>
    </w:lvl>
    <w:lvl w:ilvl="2" w:tplc="6554B690">
      <w:start w:val="1"/>
      <w:numFmt w:val="bullet"/>
      <w:lvlText w:val=""/>
      <w:lvlJc w:val="left"/>
      <w:pPr>
        <w:ind w:left="2727" w:hanging="360"/>
      </w:pPr>
      <w:rPr>
        <w:rFonts w:ascii="Wingdings" w:hAnsi="Wingdings" w:hint="default"/>
      </w:rPr>
    </w:lvl>
    <w:lvl w:ilvl="3" w:tplc="4A2E3704">
      <w:start w:val="1"/>
      <w:numFmt w:val="bullet"/>
      <w:lvlText w:val=""/>
      <w:lvlJc w:val="left"/>
      <w:pPr>
        <w:ind w:left="3447" w:hanging="360"/>
      </w:pPr>
      <w:rPr>
        <w:rFonts w:ascii="Symbol" w:hAnsi="Symbol" w:hint="default"/>
      </w:rPr>
    </w:lvl>
    <w:lvl w:ilvl="4" w:tplc="ECEEED10">
      <w:start w:val="1"/>
      <w:numFmt w:val="bullet"/>
      <w:lvlText w:val="o"/>
      <w:lvlJc w:val="left"/>
      <w:pPr>
        <w:ind w:left="4167" w:hanging="360"/>
      </w:pPr>
      <w:rPr>
        <w:rFonts w:ascii="Courier New" w:hAnsi="Courier New" w:cs="Courier New" w:hint="default"/>
      </w:rPr>
    </w:lvl>
    <w:lvl w:ilvl="5" w:tplc="220A6642">
      <w:start w:val="1"/>
      <w:numFmt w:val="bullet"/>
      <w:lvlText w:val=""/>
      <w:lvlJc w:val="left"/>
      <w:pPr>
        <w:ind w:left="4887" w:hanging="360"/>
      </w:pPr>
      <w:rPr>
        <w:rFonts w:ascii="Wingdings" w:hAnsi="Wingdings" w:hint="default"/>
      </w:rPr>
    </w:lvl>
    <w:lvl w:ilvl="6" w:tplc="4BB0F4C4">
      <w:start w:val="1"/>
      <w:numFmt w:val="bullet"/>
      <w:lvlText w:val=""/>
      <w:lvlJc w:val="left"/>
      <w:pPr>
        <w:ind w:left="5607" w:hanging="360"/>
      </w:pPr>
      <w:rPr>
        <w:rFonts w:ascii="Symbol" w:hAnsi="Symbol" w:hint="default"/>
      </w:rPr>
    </w:lvl>
    <w:lvl w:ilvl="7" w:tplc="A7923E10">
      <w:start w:val="1"/>
      <w:numFmt w:val="bullet"/>
      <w:lvlText w:val="o"/>
      <w:lvlJc w:val="left"/>
      <w:pPr>
        <w:ind w:left="6327" w:hanging="360"/>
      </w:pPr>
      <w:rPr>
        <w:rFonts w:ascii="Courier New" w:hAnsi="Courier New" w:cs="Courier New" w:hint="default"/>
      </w:rPr>
    </w:lvl>
    <w:lvl w:ilvl="8" w:tplc="48729A82">
      <w:start w:val="1"/>
      <w:numFmt w:val="bullet"/>
      <w:lvlText w:val=""/>
      <w:lvlJc w:val="left"/>
      <w:pPr>
        <w:ind w:left="7047" w:hanging="360"/>
      </w:pPr>
      <w:rPr>
        <w:rFonts w:ascii="Wingdings" w:hAnsi="Wingdings" w:hint="default"/>
      </w:rPr>
    </w:lvl>
  </w:abstractNum>
  <w:abstractNum w:abstractNumId="16" w15:restartNumberingAfterBreak="0">
    <w:nsid w:val="501F6F57"/>
    <w:multiLevelType w:val="hybridMultilevel"/>
    <w:tmpl w:val="4A9E1088"/>
    <w:lvl w:ilvl="0" w:tplc="A8321838">
      <w:start w:val="1"/>
      <w:numFmt w:val="bullet"/>
      <w:lvlText w:val="-"/>
      <w:lvlJc w:val="left"/>
      <w:pPr>
        <w:ind w:left="1287" w:hanging="360"/>
      </w:pPr>
      <w:rPr>
        <w:rFonts w:ascii="Calibri" w:eastAsia="Calibri" w:hAnsi="Calibri" w:cs="Calibri" w:hint="default"/>
      </w:rPr>
    </w:lvl>
    <w:lvl w:ilvl="1" w:tplc="73482032">
      <w:start w:val="1"/>
      <w:numFmt w:val="bullet"/>
      <w:lvlText w:val="o"/>
      <w:lvlJc w:val="left"/>
      <w:pPr>
        <w:ind w:left="2007" w:hanging="360"/>
      </w:pPr>
      <w:rPr>
        <w:rFonts w:ascii="Courier New" w:hAnsi="Courier New" w:cs="Courier New" w:hint="default"/>
      </w:rPr>
    </w:lvl>
    <w:lvl w:ilvl="2" w:tplc="5E264086">
      <w:start w:val="1"/>
      <w:numFmt w:val="bullet"/>
      <w:lvlText w:val=""/>
      <w:lvlJc w:val="left"/>
      <w:pPr>
        <w:ind w:left="2727" w:hanging="360"/>
      </w:pPr>
      <w:rPr>
        <w:rFonts w:ascii="Wingdings" w:hAnsi="Wingdings" w:hint="default"/>
      </w:rPr>
    </w:lvl>
    <w:lvl w:ilvl="3" w:tplc="C1A205C2">
      <w:start w:val="1"/>
      <w:numFmt w:val="bullet"/>
      <w:lvlText w:val=""/>
      <w:lvlJc w:val="left"/>
      <w:pPr>
        <w:ind w:left="3447" w:hanging="360"/>
      </w:pPr>
      <w:rPr>
        <w:rFonts w:ascii="Symbol" w:hAnsi="Symbol" w:hint="default"/>
      </w:rPr>
    </w:lvl>
    <w:lvl w:ilvl="4" w:tplc="34668984">
      <w:start w:val="1"/>
      <w:numFmt w:val="bullet"/>
      <w:lvlText w:val="o"/>
      <w:lvlJc w:val="left"/>
      <w:pPr>
        <w:ind w:left="4167" w:hanging="360"/>
      </w:pPr>
      <w:rPr>
        <w:rFonts w:ascii="Courier New" w:hAnsi="Courier New" w:cs="Courier New" w:hint="default"/>
      </w:rPr>
    </w:lvl>
    <w:lvl w:ilvl="5" w:tplc="38A8EE8A">
      <w:start w:val="1"/>
      <w:numFmt w:val="bullet"/>
      <w:lvlText w:val=""/>
      <w:lvlJc w:val="left"/>
      <w:pPr>
        <w:ind w:left="4887" w:hanging="360"/>
      </w:pPr>
      <w:rPr>
        <w:rFonts w:ascii="Wingdings" w:hAnsi="Wingdings" w:hint="default"/>
      </w:rPr>
    </w:lvl>
    <w:lvl w:ilvl="6" w:tplc="D10E8A1A">
      <w:start w:val="1"/>
      <w:numFmt w:val="bullet"/>
      <w:lvlText w:val=""/>
      <w:lvlJc w:val="left"/>
      <w:pPr>
        <w:ind w:left="5607" w:hanging="360"/>
      </w:pPr>
      <w:rPr>
        <w:rFonts w:ascii="Symbol" w:hAnsi="Symbol" w:hint="default"/>
      </w:rPr>
    </w:lvl>
    <w:lvl w:ilvl="7" w:tplc="AC98ED6C">
      <w:start w:val="1"/>
      <w:numFmt w:val="bullet"/>
      <w:lvlText w:val="o"/>
      <w:lvlJc w:val="left"/>
      <w:pPr>
        <w:ind w:left="6327" w:hanging="360"/>
      </w:pPr>
      <w:rPr>
        <w:rFonts w:ascii="Courier New" w:hAnsi="Courier New" w:cs="Courier New" w:hint="default"/>
      </w:rPr>
    </w:lvl>
    <w:lvl w:ilvl="8" w:tplc="D114811E">
      <w:start w:val="1"/>
      <w:numFmt w:val="bullet"/>
      <w:lvlText w:val=""/>
      <w:lvlJc w:val="left"/>
      <w:pPr>
        <w:ind w:left="7047" w:hanging="360"/>
      </w:pPr>
      <w:rPr>
        <w:rFonts w:ascii="Wingdings" w:hAnsi="Wingdings" w:hint="default"/>
      </w:rPr>
    </w:lvl>
  </w:abstractNum>
  <w:abstractNum w:abstractNumId="17" w15:restartNumberingAfterBreak="0">
    <w:nsid w:val="50910B58"/>
    <w:multiLevelType w:val="hybridMultilevel"/>
    <w:tmpl w:val="AC2EE25C"/>
    <w:lvl w:ilvl="0" w:tplc="5C385C28">
      <w:numFmt w:val="bullet"/>
      <w:lvlText w:val="-"/>
      <w:lvlJc w:val="left"/>
      <w:pPr>
        <w:ind w:left="1287" w:hanging="360"/>
      </w:pPr>
      <w:rPr>
        <w:rFonts w:ascii="Calibri" w:eastAsiaTheme="minorHAns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557063CF"/>
    <w:multiLevelType w:val="hybridMultilevel"/>
    <w:tmpl w:val="9DBA85D8"/>
    <w:lvl w:ilvl="0" w:tplc="D6F4093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561B7EEE"/>
    <w:multiLevelType w:val="multilevel"/>
    <w:tmpl w:val="032C1A6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597B0010"/>
    <w:multiLevelType w:val="hybridMultilevel"/>
    <w:tmpl w:val="30AA7562"/>
    <w:lvl w:ilvl="0" w:tplc="C9347780">
      <w:start w:val="1"/>
      <w:numFmt w:val="bullet"/>
      <w:lvlText w:val="-"/>
      <w:lvlJc w:val="left"/>
      <w:pPr>
        <w:ind w:left="1287" w:hanging="360"/>
      </w:pPr>
      <w:rPr>
        <w:rFonts w:ascii="Calibri" w:eastAsia="Calibri" w:hAnsi="Calibri" w:cs="Calibri" w:hint="default"/>
      </w:rPr>
    </w:lvl>
    <w:lvl w:ilvl="1" w:tplc="DD48D846">
      <w:start w:val="1"/>
      <w:numFmt w:val="bullet"/>
      <w:lvlText w:val="o"/>
      <w:lvlJc w:val="left"/>
      <w:pPr>
        <w:ind w:left="2007" w:hanging="360"/>
      </w:pPr>
      <w:rPr>
        <w:rFonts w:ascii="Courier New" w:hAnsi="Courier New" w:cs="Courier New" w:hint="default"/>
      </w:rPr>
    </w:lvl>
    <w:lvl w:ilvl="2" w:tplc="97E4AD76">
      <w:start w:val="1"/>
      <w:numFmt w:val="bullet"/>
      <w:lvlText w:val=""/>
      <w:lvlJc w:val="left"/>
      <w:pPr>
        <w:ind w:left="2727" w:hanging="360"/>
      </w:pPr>
      <w:rPr>
        <w:rFonts w:ascii="Wingdings" w:hAnsi="Wingdings" w:hint="default"/>
      </w:rPr>
    </w:lvl>
    <w:lvl w:ilvl="3" w:tplc="0B006C08">
      <w:start w:val="1"/>
      <w:numFmt w:val="bullet"/>
      <w:lvlText w:val=""/>
      <w:lvlJc w:val="left"/>
      <w:pPr>
        <w:ind w:left="3447" w:hanging="360"/>
      </w:pPr>
      <w:rPr>
        <w:rFonts w:ascii="Symbol" w:hAnsi="Symbol" w:hint="default"/>
      </w:rPr>
    </w:lvl>
    <w:lvl w:ilvl="4" w:tplc="D9CE6C82">
      <w:start w:val="1"/>
      <w:numFmt w:val="bullet"/>
      <w:lvlText w:val="o"/>
      <w:lvlJc w:val="left"/>
      <w:pPr>
        <w:ind w:left="4167" w:hanging="360"/>
      </w:pPr>
      <w:rPr>
        <w:rFonts w:ascii="Courier New" w:hAnsi="Courier New" w:cs="Courier New" w:hint="default"/>
      </w:rPr>
    </w:lvl>
    <w:lvl w:ilvl="5" w:tplc="28BAAE54">
      <w:start w:val="1"/>
      <w:numFmt w:val="bullet"/>
      <w:lvlText w:val=""/>
      <w:lvlJc w:val="left"/>
      <w:pPr>
        <w:ind w:left="4887" w:hanging="360"/>
      </w:pPr>
      <w:rPr>
        <w:rFonts w:ascii="Wingdings" w:hAnsi="Wingdings" w:hint="default"/>
      </w:rPr>
    </w:lvl>
    <w:lvl w:ilvl="6" w:tplc="755CC08C">
      <w:start w:val="1"/>
      <w:numFmt w:val="bullet"/>
      <w:lvlText w:val=""/>
      <w:lvlJc w:val="left"/>
      <w:pPr>
        <w:ind w:left="5607" w:hanging="360"/>
      </w:pPr>
      <w:rPr>
        <w:rFonts w:ascii="Symbol" w:hAnsi="Symbol" w:hint="default"/>
      </w:rPr>
    </w:lvl>
    <w:lvl w:ilvl="7" w:tplc="4F468032">
      <w:start w:val="1"/>
      <w:numFmt w:val="bullet"/>
      <w:lvlText w:val="o"/>
      <w:lvlJc w:val="left"/>
      <w:pPr>
        <w:ind w:left="6327" w:hanging="360"/>
      </w:pPr>
      <w:rPr>
        <w:rFonts w:ascii="Courier New" w:hAnsi="Courier New" w:cs="Courier New" w:hint="default"/>
      </w:rPr>
    </w:lvl>
    <w:lvl w:ilvl="8" w:tplc="998657DE">
      <w:start w:val="1"/>
      <w:numFmt w:val="bullet"/>
      <w:lvlText w:val=""/>
      <w:lvlJc w:val="left"/>
      <w:pPr>
        <w:ind w:left="7047" w:hanging="360"/>
      </w:pPr>
      <w:rPr>
        <w:rFonts w:ascii="Wingdings" w:hAnsi="Wingdings" w:hint="default"/>
      </w:rPr>
    </w:lvl>
  </w:abstractNum>
  <w:abstractNum w:abstractNumId="21" w15:restartNumberingAfterBreak="0">
    <w:nsid w:val="5FA6406E"/>
    <w:multiLevelType w:val="hybridMultilevel"/>
    <w:tmpl w:val="F6746B0E"/>
    <w:lvl w:ilvl="0" w:tplc="60A05500">
      <w:start w:val="1"/>
      <w:numFmt w:val="bullet"/>
      <w:lvlText w:val="-"/>
      <w:lvlJc w:val="left"/>
      <w:pPr>
        <w:ind w:left="1287" w:hanging="360"/>
      </w:pPr>
      <w:rPr>
        <w:rFonts w:ascii="Calibri" w:eastAsia="Calibri" w:hAnsi="Calibri" w:cs="Calibri" w:hint="default"/>
      </w:rPr>
    </w:lvl>
    <w:lvl w:ilvl="1" w:tplc="66E2490C">
      <w:start w:val="1"/>
      <w:numFmt w:val="bullet"/>
      <w:lvlText w:val="o"/>
      <w:lvlJc w:val="left"/>
      <w:pPr>
        <w:ind w:left="2007" w:hanging="360"/>
      </w:pPr>
      <w:rPr>
        <w:rFonts w:ascii="Courier New" w:hAnsi="Courier New" w:cs="Courier New" w:hint="default"/>
      </w:rPr>
    </w:lvl>
    <w:lvl w:ilvl="2" w:tplc="B7640E28">
      <w:start w:val="1"/>
      <w:numFmt w:val="bullet"/>
      <w:lvlText w:val=""/>
      <w:lvlJc w:val="left"/>
      <w:pPr>
        <w:ind w:left="2727" w:hanging="360"/>
      </w:pPr>
      <w:rPr>
        <w:rFonts w:ascii="Wingdings" w:hAnsi="Wingdings" w:hint="default"/>
      </w:rPr>
    </w:lvl>
    <w:lvl w:ilvl="3" w:tplc="93F00A7E">
      <w:start w:val="1"/>
      <w:numFmt w:val="bullet"/>
      <w:lvlText w:val=""/>
      <w:lvlJc w:val="left"/>
      <w:pPr>
        <w:ind w:left="3447" w:hanging="360"/>
      </w:pPr>
      <w:rPr>
        <w:rFonts w:ascii="Symbol" w:hAnsi="Symbol" w:hint="default"/>
      </w:rPr>
    </w:lvl>
    <w:lvl w:ilvl="4" w:tplc="C86E9B5E">
      <w:start w:val="1"/>
      <w:numFmt w:val="bullet"/>
      <w:lvlText w:val="o"/>
      <w:lvlJc w:val="left"/>
      <w:pPr>
        <w:ind w:left="4167" w:hanging="360"/>
      </w:pPr>
      <w:rPr>
        <w:rFonts w:ascii="Courier New" w:hAnsi="Courier New" w:cs="Courier New" w:hint="default"/>
      </w:rPr>
    </w:lvl>
    <w:lvl w:ilvl="5" w:tplc="CA62C11C">
      <w:start w:val="1"/>
      <w:numFmt w:val="bullet"/>
      <w:lvlText w:val=""/>
      <w:lvlJc w:val="left"/>
      <w:pPr>
        <w:ind w:left="4887" w:hanging="360"/>
      </w:pPr>
      <w:rPr>
        <w:rFonts w:ascii="Wingdings" w:hAnsi="Wingdings" w:hint="default"/>
      </w:rPr>
    </w:lvl>
    <w:lvl w:ilvl="6" w:tplc="07D825F8">
      <w:start w:val="1"/>
      <w:numFmt w:val="bullet"/>
      <w:lvlText w:val=""/>
      <w:lvlJc w:val="left"/>
      <w:pPr>
        <w:ind w:left="5607" w:hanging="360"/>
      </w:pPr>
      <w:rPr>
        <w:rFonts w:ascii="Symbol" w:hAnsi="Symbol" w:hint="default"/>
      </w:rPr>
    </w:lvl>
    <w:lvl w:ilvl="7" w:tplc="F0940278">
      <w:start w:val="1"/>
      <w:numFmt w:val="bullet"/>
      <w:lvlText w:val="o"/>
      <w:lvlJc w:val="left"/>
      <w:pPr>
        <w:ind w:left="6327" w:hanging="360"/>
      </w:pPr>
      <w:rPr>
        <w:rFonts w:ascii="Courier New" w:hAnsi="Courier New" w:cs="Courier New" w:hint="default"/>
      </w:rPr>
    </w:lvl>
    <w:lvl w:ilvl="8" w:tplc="EFA65B30">
      <w:start w:val="1"/>
      <w:numFmt w:val="bullet"/>
      <w:lvlText w:val=""/>
      <w:lvlJc w:val="left"/>
      <w:pPr>
        <w:ind w:left="7047" w:hanging="360"/>
      </w:pPr>
      <w:rPr>
        <w:rFonts w:ascii="Wingdings" w:hAnsi="Wingdings" w:hint="default"/>
      </w:rPr>
    </w:lvl>
  </w:abstractNum>
  <w:abstractNum w:abstractNumId="22" w15:restartNumberingAfterBreak="0">
    <w:nsid w:val="63F03104"/>
    <w:multiLevelType w:val="multilevel"/>
    <w:tmpl w:val="6466FF84"/>
    <w:lvl w:ilvl="0">
      <w:start w:val="1"/>
      <w:numFmt w:val="decimal"/>
      <w:lvlText w:val="%1."/>
      <w:lvlJc w:val="left"/>
      <w:pPr>
        <w:ind w:left="1182" w:hanging="360"/>
      </w:pPr>
      <w:rPr>
        <w:rFonts w:hint="default"/>
        <w:sz w:val="20"/>
        <w:szCs w:val="20"/>
      </w:rPr>
    </w:lvl>
    <w:lvl w:ilvl="1">
      <w:start w:val="1"/>
      <w:numFmt w:val="decimal"/>
      <w:isLgl/>
      <w:lvlText w:val="%1.%2."/>
      <w:lvlJc w:val="left"/>
      <w:pPr>
        <w:ind w:left="1429" w:hanging="720"/>
      </w:pPr>
      <w:rPr>
        <w:rFonts w:ascii="Arial" w:hAnsi="Arial" w:cs="Arial" w:hint="default"/>
        <w:b/>
        <w:sz w:val="20"/>
        <w:szCs w:val="20"/>
      </w:rPr>
    </w:lvl>
    <w:lvl w:ilvl="2">
      <w:start w:val="1"/>
      <w:numFmt w:val="decimal"/>
      <w:isLgl/>
      <w:lvlText w:val="%1.%2.%3."/>
      <w:lvlJc w:val="left"/>
      <w:pPr>
        <w:ind w:left="1902" w:hanging="1080"/>
      </w:pPr>
      <w:rPr>
        <w:rFonts w:ascii="Arial" w:hAnsi="Arial" w:cs="Arial" w:hint="default"/>
        <w:b/>
        <w:sz w:val="20"/>
        <w:szCs w:val="20"/>
      </w:rPr>
    </w:lvl>
    <w:lvl w:ilvl="3">
      <w:start w:val="1"/>
      <w:numFmt w:val="decimal"/>
      <w:isLgl/>
      <w:lvlText w:val="%1.%2.%3.%4."/>
      <w:lvlJc w:val="left"/>
      <w:pPr>
        <w:ind w:left="1902" w:hanging="1080"/>
      </w:pPr>
      <w:rPr>
        <w:rFonts w:hint="default"/>
      </w:rPr>
    </w:lvl>
    <w:lvl w:ilvl="4">
      <w:start w:val="1"/>
      <w:numFmt w:val="decimal"/>
      <w:isLgl/>
      <w:lvlText w:val="%1.%2.%3.%4.%5."/>
      <w:lvlJc w:val="left"/>
      <w:pPr>
        <w:ind w:left="2262" w:hanging="1440"/>
      </w:pPr>
      <w:rPr>
        <w:rFonts w:hint="default"/>
      </w:rPr>
    </w:lvl>
    <w:lvl w:ilvl="5">
      <w:start w:val="1"/>
      <w:numFmt w:val="decimal"/>
      <w:isLgl/>
      <w:lvlText w:val="%1.%2.%3.%4.%5.%6."/>
      <w:lvlJc w:val="left"/>
      <w:pPr>
        <w:ind w:left="2262" w:hanging="1440"/>
      </w:pPr>
      <w:rPr>
        <w:rFonts w:hint="default"/>
      </w:rPr>
    </w:lvl>
    <w:lvl w:ilvl="6">
      <w:start w:val="1"/>
      <w:numFmt w:val="decimal"/>
      <w:isLgl/>
      <w:lvlText w:val="%1.%2.%3.%4.%5.%6.%7."/>
      <w:lvlJc w:val="left"/>
      <w:pPr>
        <w:ind w:left="2622"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982" w:hanging="2160"/>
      </w:pPr>
      <w:rPr>
        <w:rFonts w:hint="default"/>
      </w:rPr>
    </w:lvl>
  </w:abstractNum>
  <w:abstractNum w:abstractNumId="23" w15:restartNumberingAfterBreak="0">
    <w:nsid w:val="6A5042EE"/>
    <w:multiLevelType w:val="hybridMultilevel"/>
    <w:tmpl w:val="A934BB70"/>
    <w:lvl w:ilvl="0" w:tplc="6414CBCE">
      <w:start w:val="1"/>
      <w:numFmt w:val="bullet"/>
      <w:lvlText w:val=""/>
      <w:lvlJc w:val="left"/>
      <w:pPr>
        <w:ind w:left="1287" w:hanging="360"/>
      </w:pPr>
      <w:rPr>
        <w:rFonts w:ascii="Symbol" w:hAnsi="Symbol" w:hint="default"/>
      </w:rPr>
    </w:lvl>
    <w:lvl w:ilvl="1" w:tplc="26447000">
      <w:start w:val="1"/>
      <w:numFmt w:val="bullet"/>
      <w:lvlText w:val="o"/>
      <w:lvlJc w:val="left"/>
      <w:pPr>
        <w:ind w:left="2007" w:hanging="360"/>
      </w:pPr>
      <w:rPr>
        <w:rFonts w:ascii="Courier New" w:hAnsi="Courier New" w:cs="Courier New" w:hint="default"/>
      </w:rPr>
    </w:lvl>
    <w:lvl w:ilvl="2" w:tplc="1F103288">
      <w:start w:val="1"/>
      <w:numFmt w:val="bullet"/>
      <w:lvlText w:val=""/>
      <w:lvlJc w:val="left"/>
      <w:pPr>
        <w:ind w:left="2727" w:hanging="360"/>
      </w:pPr>
      <w:rPr>
        <w:rFonts w:ascii="Wingdings" w:hAnsi="Wingdings" w:hint="default"/>
      </w:rPr>
    </w:lvl>
    <w:lvl w:ilvl="3" w:tplc="D4AEAB90">
      <w:start w:val="1"/>
      <w:numFmt w:val="bullet"/>
      <w:lvlText w:val=""/>
      <w:lvlJc w:val="left"/>
      <w:pPr>
        <w:ind w:left="3447" w:hanging="360"/>
      </w:pPr>
      <w:rPr>
        <w:rFonts w:ascii="Symbol" w:hAnsi="Symbol" w:hint="default"/>
      </w:rPr>
    </w:lvl>
    <w:lvl w:ilvl="4" w:tplc="54D27884">
      <w:start w:val="1"/>
      <w:numFmt w:val="bullet"/>
      <w:lvlText w:val="o"/>
      <w:lvlJc w:val="left"/>
      <w:pPr>
        <w:ind w:left="4167" w:hanging="360"/>
      </w:pPr>
      <w:rPr>
        <w:rFonts w:ascii="Courier New" w:hAnsi="Courier New" w:cs="Courier New" w:hint="default"/>
      </w:rPr>
    </w:lvl>
    <w:lvl w:ilvl="5" w:tplc="F9E8F260">
      <w:start w:val="1"/>
      <w:numFmt w:val="bullet"/>
      <w:lvlText w:val=""/>
      <w:lvlJc w:val="left"/>
      <w:pPr>
        <w:ind w:left="4887" w:hanging="360"/>
      </w:pPr>
      <w:rPr>
        <w:rFonts w:ascii="Wingdings" w:hAnsi="Wingdings" w:hint="default"/>
      </w:rPr>
    </w:lvl>
    <w:lvl w:ilvl="6" w:tplc="06ECE8B4">
      <w:start w:val="1"/>
      <w:numFmt w:val="bullet"/>
      <w:lvlText w:val=""/>
      <w:lvlJc w:val="left"/>
      <w:pPr>
        <w:ind w:left="5607" w:hanging="360"/>
      </w:pPr>
      <w:rPr>
        <w:rFonts w:ascii="Symbol" w:hAnsi="Symbol" w:hint="default"/>
      </w:rPr>
    </w:lvl>
    <w:lvl w:ilvl="7" w:tplc="098C9C5C">
      <w:start w:val="1"/>
      <w:numFmt w:val="bullet"/>
      <w:lvlText w:val="o"/>
      <w:lvlJc w:val="left"/>
      <w:pPr>
        <w:ind w:left="6327" w:hanging="360"/>
      </w:pPr>
      <w:rPr>
        <w:rFonts w:ascii="Courier New" w:hAnsi="Courier New" w:cs="Courier New" w:hint="default"/>
      </w:rPr>
    </w:lvl>
    <w:lvl w:ilvl="8" w:tplc="EFF64AAE">
      <w:start w:val="1"/>
      <w:numFmt w:val="bullet"/>
      <w:lvlText w:val=""/>
      <w:lvlJc w:val="left"/>
      <w:pPr>
        <w:ind w:left="7047" w:hanging="360"/>
      </w:pPr>
      <w:rPr>
        <w:rFonts w:ascii="Wingdings" w:hAnsi="Wingdings" w:hint="default"/>
      </w:rPr>
    </w:lvl>
  </w:abstractNum>
  <w:abstractNum w:abstractNumId="24" w15:restartNumberingAfterBreak="0">
    <w:nsid w:val="6CDB6E13"/>
    <w:multiLevelType w:val="hybridMultilevel"/>
    <w:tmpl w:val="23865412"/>
    <w:lvl w:ilvl="0" w:tplc="9E04AFCA">
      <w:start w:val="1"/>
      <w:numFmt w:val="decimal"/>
      <w:lvlText w:val="%1."/>
      <w:lvlJc w:val="right"/>
      <w:pPr>
        <w:ind w:left="720" w:hanging="360"/>
      </w:pPr>
    </w:lvl>
    <w:lvl w:ilvl="1" w:tplc="6A5CEADE">
      <w:start w:val="1"/>
      <w:numFmt w:val="decimal"/>
      <w:lvlText w:val="%2."/>
      <w:lvlJc w:val="right"/>
      <w:pPr>
        <w:ind w:left="1440" w:hanging="360"/>
      </w:pPr>
    </w:lvl>
    <w:lvl w:ilvl="2" w:tplc="0F8496AC">
      <w:start w:val="1"/>
      <w:numFmt w:val="lowerRoman"/>
      <w:lvlText w:val="%3."/>
      <w:lvlJc w:val="right"/>
      <w:pPr>
        <w:ind w:left="2160" w:hanging="180"/>
      </w:pPr>
    </w:lvl>
    <w:lvl w:ilvl="3" w:tplc="E1B21C7E">
      <w:start w:val="1"/>
      <w:numFmt w:val="decimal"/>
      <w:lvlText w:val="%4."/>
      <w:lvlJc w:val="left"/>
      <w:pPr>
        <w:ind w:left="2880" w:hanging="360"/>
      </w:pPr>
    </w:lvl>
    <w:lvl w:ilvl="4" w:tplc="7D1862D6">
      <w:start w:val="1"/>
      <w:numFmt w:val="lowerLetter"/>
      <w:lvlText w:val="%5."/>
      <w:lvlJc w:val="left"/>
      <w:pPr>
        <w:ind w:left="3600" w:hanging="360"/>
      </w:pPr>
    </w:lvl>
    <w:lvl w:ilvl="5" w:tplc="17F6B698">
      <w:start w:val="1"/>
      <w:numFmt w:val="lowerRoman"/>
      <w:lvlText w:val="%6."/>
      <w:lvlJc w:val="right"/>
      <w:pPr>
        <w:ind w:left="4320" w:hanging="180"/>
      </w:pPr>
    </w:lvl>
    <w:lvl w:ilvl="6" w:tplc="69A0A8A8">
      <w:start w:val="1"/>
      <w:numFmt w:val="decimal"/>
      <w:lvlText w:val="%7."/>
      <w:lvlJc w:val="left"/>
      <w:pPr>
        <w:ind w:left="5040" w:hanging="360"/>
      </w:pPr>
    </w:lvl>
    <w:lvl w:ilvl="7" w:tplc="AB2EB7DA">
      <w:start w:val="1"/>
      <w:numFmt w:val="lowerLetter"/>
      <w:lvlText w:val="%8."/>
      <w:lvlJc w:val="left"/>
      <w:pPr>
        <w:ind w:left="5760" w:hanging="360"/>
      </w:pPr>
    </w:lvl>
    <w:lvl w:ilvl="8" w:tplc="D4929206">
      <w:start w:val="1"/>
      <w:numFmt w:val="lowerRoman"/>
      <w:lvlText w:val="%9."/>
      <w:lvlJc w:val="right"/>
      <w:pPr>
        <w:ind w:left="6480" w:hanging="180"/>
      </w:pPr>
    </w:lvl>
  </w:abstractNum>
  <w:abstractNum w:abstractNumId="25" w15:restartNumberingAfterBreak="0">
    <w:nsid w:val="708D2ACA"/>
    <w:multiLevelType w:val="hybridMultilevel"/>
    <w:tmpl w:val="9B163216"/>
    <w:lvl w:ilvl="0" w:tplc="D9DC611C">
      <w:start w:val="1"/>
      <w:numFmt w:val="decimal"/>
      <w:lvlText w:val="%1."/>
      <w:lvlJc w:val="left"/>
      <w:pPr>
        <w:ind w:left="927" w:hanging="360"/>
      </w:pPr>
      <w:rPr>
        <w:rFonts w:hint="default"/>
      </w:rPr>
    </w:lvl>
    <w:lvl w:ilvl="1" w:tplc="D4820322">
      <w:start w:val="1"/>
      <w:numFmt w:val="lowerLetter"/>
      <w:lvlText w:val="%2."/>
      <w:lvlJc w:val="left"/>
      <w:pPr>
        <w:ind w:left="1647" w:hanging="360"/>
      </w:pPr>
    </w:lvl>
    <w:lvl w:ilvl="2" w:tplc="B1C66EFA">
      <w:start w:val="1"/>
      <w:numFmt w:val="lowerRoman"/>
      <w:lvlText w:val="%3."/>
      <w:lvlJc w:val="right"/>
      <w:pPr>
        <w:ind w:left="2367" w:hanging="180"/>
      </w:pPr>
    </w:lvl>
    <w:lvl w:ilvl="3" w:tplc="FD24E2A4">
      <w:start w:val="1"/>
      <w:numFmt w:val="decimal"/>
      <w:lvlText w:val="%4."/>
      <w:lvlJc w:val="left"/>
      <w:pPr>
        <w:ind w:left="3087" w:hanging="360"/>
      </w:pPr>
    </w:lvl>
    <w:lvl w:ilvl="4" w:tplc="5C0A667C">
      <w:start w:val="1"/>
      <w:numFmt w:val="lowerLetter"/>
      <w:lvlText w:val="%5."/>
      <w:lvlJc w:val="left"/>
      <w:pPr>
        <w:ind w:left="3807" w:hanging="360"/>
      </w:pPr>
    </w:lvl>
    <w:lvl w:ilvl="5" w:tplc="1CDEC01C">
      <w:start w:val="1"/>
      <w:numFmt w:val="lowerRoman"/>
      <w:lvlText w:val="%6."/>
      <w:lvlJc w:val="right"/>
      <w:pPr>
        <w:ind w:left="4527" w:hanging="180"/>
      </w:pPr>
    </w:lvl>
    <w:lvl w:ilvl="6" w:tplc="ADC010A4">
      <w:start w:val="1"/>
      <w:numFmt w:val="decimal"/>
      <w:lvlText w:val="%7."/>
      <w:lvlJc w:val="left"/>
      <w:pPr>
        <w:ind w:left="5247" w:hanging="360"/>
      </w:pPr>
    </w:lvl>
    <w:lvl w:ilvl="7" w:tplc="E760E974">
      <w:start w:val="1"/>
      <w:numFmt w:val="lowerLetter"/>
      <w:lvlText w:val="%8."/>
      <w:lvlJc w:val="left"/>
      <w:pPr>
        <w:ind w:left="5967" w:hanging="360"/>
      </w:pPr>
    </w:lvl>
    <w:lvl w:ilvl="8" w:tplc="AB102958">
      <w:start w:val="1"/>
      <w:numFmt w:val="lowerRoman"/>
      <w:lvlText w:val="%9."/>
      <w:lvlJc w:val="right"/>
      <w:pPr>
        <w:ind w:left="6687" w:hanging="180"/>
      </w:pPr>
    </w:lvl>
  </w:abstractNum>
  <w:abstractNum w:abstractNumId="26" w15:restartNumberingAfterBreak="0">
    <w:nsid w:val="71D3054A"/>
    <w:multiLevelType w:val="hybridMultilevel"/>
    <w:tmpl w:val="2D3499C2"/>
    <w:lvl w:ilvl="0" w:tplc="40B01DBC">
      <w:start w:val="1"/>
      <w:numFmt w:val="bullet"/>
      <w:lvlText w:val="-"/>
      <w:lvlJc w:val="left"/>
      <w:pPr>
        <w:ind w:left="1287" w:hanging="360"/>
      </w:pPr>
      <w:rPr>
        <w:rFonts w:ascii="Calibri" w:eastAsia="Calibri" w:hAnsi="Calibri" w:cs="Calibri" w:hint="default"/>
      </w:rPr>
    </w:lvl>
    <w:lvl w:ilvl="1" w:tplc="0060C3B2">
      <w:start w:val="1"/>
      <w:numFmt w:val="bullet"/>
      <w:lvlText w:val="o"/>
      <w:lvlJc w:val="left"/>
      <w:pPr>
        <w:ind w:left="2007" w:hanging="360"/>
      </w:pPr>
      <w:rPr>
        <w:rFonts w:ascii="Courier New" w:hAnsi="Courier New" w:cs="Courier New" w:hint="default"/>
      </w:rPr>
    </w:lvl>
    <w:lvl w:ilvl="2" w:tplc="21AC05B6">
      <w:start w:val="1"/>
      <w:numFmt w:val="bullet"/>
      <w:lvlText w:val=""/>
      <w:lvlJc w:val="left"/>
      <w:pPr>
        <w:ind w:left="2727" w:hanging="360"/>
      </w:pPr>
      <w:rPr>
        <w:rFonts w:ascii="Wingdings" w:hAnsi="Wingdings" w:hint="default"/>
      </w:rPr>
    </w:lvl>
    <w:lvl w:ilvl="3" w:tplc="6C902FB0">
      <w:start w:val="1"/>
      <w:numFmt w:val="bullet"/>
      <w:lvlText w:val=""/>
      <w:lvlJc w:val="left"/>
      <w:pPr>
        <w:ind w:left="3447" w:hanging="360"/>
      </w:pPr>
      <w:rPr>
        <w:rFonts w:ascii="Symbol" w:hAnsi="Symbol" w:hint="default"/>
      </w:rPr>
    </w:lvl>
    <w:lvl w:ilvl="4" w:tplc="CEB6C8E4">
      <w:start w:val="1"/>
      <w:numFmt w:val="bullet"/>
      <w:lvlText w:val="o"/>
      <w:lvlJc w:val="left"/>
      <w:pPr>
        <w:ind w:left="4167" w:hanging="360"/>
      </w:pPr>
      <w:rPr>
        <w:rFonts w:ascii="Courier New" w:hAnsi="Courier New" w:cs="Courier New" w:hint="default"/>
      </w:rPr>
    </w:lvl>
    <w:lvl w:ilvl="5" w:tplc="5AEC8AD6">
      <w:start w:val="1"/>
      <w:numFmt w:val="bullet"/>
      <w:lvlText w:val=""/>
      <w:lvlJc w:val="left"/>
      <w:pPr>
        <w:ind w:left="4887" w:hanging="360"/>
      </w:pPr>
      <w:rPr>
        <w:rFonts w:ascii="Wingdings" w:hAnsi="Wingdings" w:hint="default"/>
      </w:rPr>
    </w:lvl>
    <w:lvl w:ilvl="6" w:tplc="D28A7C40">
      <w:start w:val="1"/>
      <w:numFmt w:val="bullet"/>
      <w:lvlText w:val=""/>
      <w:lvlJc w:val="left"/>
      <w:pPr>
        <w:ind w:left="5607" w:hanging="360"/>
      </w:pPr>
      <w:rPr>
        <w:rFonts w:ascii="Symbol" w:hAnsi="Symbol" w:hint="default"/>
      </w:rPr>
    </w:lvl>
    <w:lvl w:ilvl="7" w:tplc="3314D3C6">
      <w:start w:val="1"/>
      <w:numFmt w:val="bullet"/>
      <w:lvlText w:val="o"/>
      <w:lvlJc w:val="left"/>
      <w:pPr>
        <w:ind w:left="6327" w:hanging="360"/>
      </w:pPr>
      <w:rPr>
        <w:rFonts w:ascii="Courier New" w:hAnsi="Courier New" w:cs="Courier New" w:hint="default"/>
      </w:rPr>
    </w:lvl>
    <w:lvl w:ilvl="8" w:tplc="E1A2C318">
      <w:start w:val="1"/>
      <w:numFmt w:val="bullet"/>
      <w:lvlText w:val=""/>
      <w:lvlJc w:val="left"/>
      <w:pPr>
        <w:ind w:left="7047" w:hanging="360"/>
      </w:pPr>
      <w:rPr>
        <w:rFonts w:ascii="Wingdings" w:hAnsi="Wingdings" w:hint="default"/>
      </w:rPr>
    </w:lvl>
  </w:abstractNum>
  <w:abstractNum w:abstractNumId="27" w15:restartNumberingAfterBreak="0">
    <w:nsid w:val="739E50CD"/>
    <w:multiLevelType w:val="hybridMultilevel"/>
    <w:tmpl w:val="2F60D18E"/>
    <w:lvl w:ilvl="0" w:tplc="AA0E4CA2">
      <w:start w:val="1"/>
      <w:numFmt w:val="bullet"/>
      <w:lvlText w:val="-"/>
      <w:lvlJc w:val="left"/>
      <w:pPr>
        <w:ind w:left="1287" w:hanging="360"/>
      </w:pPr>
      <w:rPr>
        <w:rFonts w:ascii="Calibri" w:eastAsia="Calibri" w:hAnsi="Calibri" w:cs="Calibri" w:hint="default"/>
      </w:rPr>
    </w:lvl>
    <w:lvl w:ilvl="1" w:tplc="3D962B52">
      <w:start w:val="1"/>
      <w:numFmt w:val="bullet"/>
      <w:lvlText w:val="o"/>
      <w:lvlJc w:val="left"/>
      <w:pPr>
        <w:ind w:left="2007" w:hanging="360"/>
      </w:pPr>
      <w:rPr>
        <w:rFonts w:ascii="Courier New" w:hAnsi="Courier New" w:cs="Courier New" w:hint="default"/>
      </w:rPr>
    </w:lvl>
    <w:lvl w:ilvl="2" w:tplc="71EAB2B4">
      <w:start w:val="1"/>
      <w:numFmt w:val="bullet"/>
      <w:lvlText w:val=""/>
      <w:lvlJc w:val="left"/>
      <w:pPr>
        <w:ind w:left="2727" w:hanging="360"/>
      </w:pPr>
      <w:rPr>
        <w:rFonts w:ascii="Wingdings" w:hAnsi="Wingdings" w:hint="default"/>
      </w:rPr>
    </w:lvl>
    <w:lvl w:ilvl="3" w:tplc="52E8E378">
      <w:start w:val="1"/>
      <w:numFmt w:val="bullet"/>
      <w:lvlText w:val=""/>
      <w:lvlJc w:val="left"/>
      <w:pPr>
        <w:ind w:left="3447" w:hanging="360"/>
      </w:pPr>
      <w:rPr>
        <w:rFonts w:ascii="Symbol" w:hAnsi="Symbol" w:hint="default"/>
      </w:rPr>
    </w:lvl>
    <w:lvl w:ilvl="4" w:tplc="06507F94">
      <w:start w:val="1"/>
      <w:numFmt w:val="bullet"/>
      <w:lvlText w:val="o"/>
      <w:lvlJc w:val="left"/>
      <w:pPr>
        <w:ind w:left="4167" w:hanging="360"/>
      </w:pPr>
      <w:rPr>
        <w:rFonts w:ascii="Courier New" w:hAnsi="Courier New" w:cs="Courier New" w:hint="default"/>
      </w:rPr>
    </w:lvl>
    <w:lvl w:ilvl="5" w:tplc="D97C22EA">
      <w:start w:val="1"/>
      <w:numFmt w:val="bullet"/>
      <w:lvlText w:val=""/>
      <w:lvlJc w:val="left"/>
      <w:pPr>
        <w:ind w:left="4887" w:hanging="360"/>
      </w:pPr>
      <w:rPr>
        <w:rFonts w:ascii="Wingdings" w:hAnsi="Wingdings" w:hint="default"/>
      </w:rPr>
    </w:lvl>
    <w:lvl w:ilvl="6" w:tplc="B32E77E8">
      <w:start w:val="1"/>
      <w:numFmt w:val="bullet"/>
      <w:lvlText w:val=""/>
      <w:lvlJc w:val="left"/>
      <w:pPr>
        <w:ind w:left="5607" w:hanging="360"/>
      </w:pPr>
      <w:rPr>
        <w:rFonts w:ascii="Symbol" w:hAnsi="Symbol" w:hint="default"/>
      </w:rPr>
    </w:lvl>
    <w:lvl w:ilvl="7" w:tplc="7E2E1148">
      <w:start w:val="1"/>
      <w:numFmt w:val="bullet"/>
      <w:lvlText w:val="o"/>
      <w:lvlJc w:val="left"/>
      <w:pPr>
        <w:ind w:left="6327" w:hanging="360"/>
      </w:pPr>
      <w:rPr>
        <w:rFonts w:ascii="Courier New" w:hAnsi="Courier New" w:cs="Courier New" w:hint="default"/>
      </w:rPr>
    </w:lvl>
    <w:lvl w:ilvl="8" w:tplc="75FE02F6">
      <w:start w:val="1"/>
      <w:numFmt w:val="bullet"/>
      <w:lvlText w:val=""/>
      <w:lvlJc w:val="left"/>
      <w:pPr>
        <w:ind w:left="7047" w:hanging="360"/>
      </w:pPr>
      <w:rPr>
        <w:rFonts w:ascii="Wingdings" w:hAnsi="Wingdings" w:hint="default"/>
      </w:rPr>
    </w:lvl>
  </w:abstractNum>
  <w:abstractNum w:abstractNumId="28" w15:restartNumberingAfterBreak="0">
    <w:nsid w:val="750B66B3"/>
    <w:multiLevelType w:val="hybridMultilevel"/>
    <w:tmpl w:val="7BDACABC"/>
    <w:lvl w:ilvl="0" w:tplc="20165A1E">
      <w:start w:val="1"/>
      <w:numFmt w:val="upperLetter"/>
      <w:lvlText w:val="%1."/>
      <w:lvlJc w:val="left"/>
      <w:pPr>
        <w:ind w:left="927" w:hanging="360"/>
      </w:pPr>
      <w:rPr>
        <w:rFonts w:hint="default"/>
      </w:rPr>
    </w:lvl>
    <w:lvl w:ilvl="1" w:tplc="A6048D64">
      <w:start w:val="1"/>
      <w:numFmt w:val="lowerLetter"/>
      <w:lvlText w:val="%2."/>
      <w:lvlJc w:val="left"/>
      <w:pPr>
        <w:ind w:left="1647" w:hanging="360"/>
      </w:pPr>
    </w:lvl>
    <w:lvl w:ilvl="2" w:tplc="A292343A">
      <w:start w:val="1"/>
      <w:numFmt w:val="lowerRoman"/>
      <w:lvlText w:val="%3."/>
      <w:lvlJc w:val="right"/>
      <w:pPr>
        <w:ind w:left="2367" w:hanging="180"/>
      </w:pPr>
    </w:lvl>
    <w:lvl w:ilvl="3" w:tplc="E08E2194">
      <w:start w:val="1"/>
      <w:numFmt w:val="decimal"/>
      <w:lvlText w:val="%4."/>
      <w:lvlJc w:val="left"/>
      <w:pPr>
        <w:ind w:left="3087" w:hanging="360"/>
      </w:pPr>
    </w:lvl>
    <w:lvl w:ilvl="4" w:tplc="B05EB336">
      <w:start w:val="1"/>
      <w:numFmt w:val="lowerLetter"/>
      <w:lvlText w:val="%5."/>
      <w:lvlJc w:val="left"/>
      <w:pPr>
        <w:ind w:left="3807" w:hanging="360"/>
      </w:pPr>
    </w:lvl>
    <w:lvl w:ilvl="5" w:tplc="8B10571C">
      <w:start w:val="1"/>
      <w:numFmt w:val="lowerRoman"/>
      <w:lvlText w:val="%6."/>
      <w:lvlJc w:val="right"/>
      <w:pPr>
        <w:ind w:left="4527" w:hanging="180"/>
      </w:pPr>
    </w:lvl>
    <w:lvl w:ilvl="6" w:tplc="28802E4E">
      <w:start w:val="1"/>
      <w:numFmt w:val="decimal"/>
      <w:lvlText w:val="%7."/>
      <w:lvlJc w:val="left"/>
      <w:pPr>
        <w:ind w:left="5247" w:hanging="360"/>
      </w:pPr>
    </w:lvl>
    <w:lvl w:ilvl="7" w:tplc="D7487E7C">
      <w:start w:val="1"/>
      <w:numFmt w:val="lowerLetter"/>
      <w:lvlText w:val="%8."/>
      <w:lvlJc w:val="left"/>
      <w:pPr>
        <w:ind w:left="5967" w:hanging="360"/>
      </w:pPr>
    </w:lvl>
    <w:lvl w:ilvl="8" w:tplc="D8CA674C">
      <w:start w:val="1"/>
      <w:numFmt w:val="lowerRoman"/>
      <w:lvlText w:val="%9."/>
      <w:lvlJc w:val="right"/>
      <w:pPr>
        <w:ind w:left="6687" w:hanging="180"/>
      </w:pPr>
    </w:lvl>
  </w:abstractNum>
  <w:abstractNum w:abstractNumId="29" w15:restartNumberingAfterBreak="0">
    <w:nsid w:val="7B5F4C90"/>
    <w:multiLevelType w:val="hybridMultilevel"/>
    <w:tmpl w:val="0E4CB666"/>
    <w:lvl w:ilvl="0" w:tplc="18362D6E">
      <w:start w:val="1"/>
      <w:numFmt w:val="bullet"/>
      <w:lvlText w:val="-"/>
      <w:lvlJc w:val="left"/>
      <w:pPr>
        <w:ind w:left="1287" w:hanging="360"/>
      </w:pPr>
      <w:rPr>
        <w:rFonts w:ascii="Calibri" w:eastAsia="Calibri" w:hAnsi="Calibri" w:cs="Calibri" w:hint="default"/>
      </w:rPr>
    </w:lvl>
    <w:lvl w:ilvl="1" w:tplc="49C20E44">
      <w:start w:val="1"/>
      <w:numFmt w:val="bullet"/>
      <w:lvlText w:val="o"/>
      <w:lvlJc w:val="left"/>
      <w:pPr>
        <w:ind w:left="2007" w:hanging="360"/>
      </w:pPr>
      <w:rPr>
        <w:rFonts w:ascii="Courier New" w:hAnsi="Courier New" w:cs="Courier New" w:hint="default"/>
      </w:rPr>
    </w:lvl>
    <w:lvl w:ilvl="2" w:tplc="CCFC7128">
      <w:start w:val="1"/>
      <w:numFmt w:val="bullet"/>
      <w:lvlText w:val=""/>
      <w:lvlJc w:val="left"/>
      <w:pPr>
        <w:ind w:left="2727" w:hanging="360"/>
      </w:pPr>
      <w:rPr>
        <w:rFonts w:ascii="Wingdings" w:hAnsi="Wingdings" w:hint="default"/>
      </w:rPr>
    </w:lvl>
    <w:lvl w:ilvl="3" w:tplc="AE22CE66">
      <w:start w:val="1"/>
      <w:numFmt w:val="bullet"/>
      <w:lvlText w:val=""/>
      <w:lvlJc w:val="left"/>
      <w:pPr>
        <w:ind w:left="3447" w:hanging="360"/>
      </w:pPr>
      <w:rPr>
        <w:rFonts w:ascii="Symbol" w:hAnsi="Symbol" w:hint="default"/>
      </w:rPr>
    </w:lvl>
    <w:lvl w:ilvl="4" w:tplc="948E7C72">
      <w:start w:val="1"/>
      <w:numFmt w:val="bullet"/>
      <w:lvlText w:val="o"/>
      <w:lvlJc w:val="left"/>
      <w:pPr>
        <w:ind w:left="4167" w:hanging="360"/>
      </w:pPr>
      <w:rPr>
        <w:rFonts w:ascii="Courier New" w:hAnsi="Courier New" w:cs="Courier New" w:hint="default"/>
      </w:rPr>
    </w:lvl>
    <w:lvl w:ilvl="5" w:tplc="AB0ED96A">
      <w:start w:val="1"/>
      <w:numFmt w:val="bullet"/>
      <w:lvlText w:val=""/>
      <w:lvlJc w:val="left"/>
      <w:pPr>
        <w:ind w:left="4887" w:hanging="360"/>
      </w:pPr>
      <w:rPr>
        <w:rFonts w:ascii="Wingdings" w:hAnsi="Wingdings" w:hint="default"/>
      </w:rPr>
    </w:lvl>
    <w:lvl w:ilvl="6" w:tplc="4482B1D4">
      <w:start w:val="1"/>
      <w:numFmt w:val="bullet"/>
      <w:lvlText w:val=""/>
      <w:lvlJc w:val="left"/>
      <w:pPr>
        <w:ind w:left="5607" w:hanging="360"/>
      </w:pPr>
      <w:rPr>
        <w:rFonts w:ascii="Symbol" w:hAnsi="Symbol" w:hint="default"/>
      </w:rPr>
    </w:lvl>
    <w:lvl w:ilvl="7" w:tplc="B33A61CC">
      <w:start w:val="1"/>
      <w:numFmt w:val="bullet"/>
      <w:lvlText w:val="o"/>
      <w:lvlJc w:val="left"/>
      <w:pPr>
        <w:ind w:left="6327" w:hanging="360"/>
      </w:pPr>
      <w:rPr>
        <w:rFonts w:ascii="Courier New" w:hAnsi="Courier New" w:cs="Courier New" w:hint="default"/>
      </w:rPr>
    </w:lvl>
    <w:lvl w:ilvl="8" w:tplc="2AE058DE">
      <w:start w:val="1"/>
      <w:numFmt w:val="bullet"/>
      <w:lvlText w:val=""/>
      <w:lvlJc w:val="left"/>
      <w:pPr>
        <w:ind w:left="7047" w:hanging="360"/>
      </w:pPr>
      <w:rPr>
        <w:rFonts w:ascii="Wingdings" w:hAnsi="Wingdings" w:hint="default"/>
      </w:rPr>
    </w:lvl>
  </w:abstractNum>
  <w:abstractNum w:abstractNumId="30" w15:restartNumberingAfterBreak="0">
    <w:nsid w:val="7EE331E8"/>
    <w:multiLevelType w:val="hybridMultilevel"/>
    <w:tmpl w:val="910851E6"/>
    <w:lvl w:ilvl="0" w:tplc="5112A4EE">
      <w:start w:val="3"/>
      <w:numFmt w:val="bullet"/>
      <w:lvlText w:val="-"/>
      <w:lvlJc w:val="left"/>
      <w:pPr>
        <w:ind w:left="720" w:hanging="360"/>
      </w:pPr>
      <w:rPr>
        <w:rFonts w:ascii="Times New Roman" w:eastAsia="Times New Roman" w:hAnsi="Times New Roman" w:cs="Times New Roman" w:hint="default"/>
      </w:rPr>
    </w:lvl>
    <w:lvl w:ilvl="1" w:tplc="E94CC3D6">
      <w:start w:val="1"/>
      <w:numFmt w:val="bullet"/>
      <w:lvlText w:val="o"/>
      <w:lvlJc w:val="left"/>
      <w:pPr>
        <w:ind w:left="1440" w:hanging="360"/>
      </w:pPr>
      <w:rPr>
        <w:rFonts w:ascii="Courier New" w:hAnsi="Courier New" w:cs="Courier New" w:hint="default"/>
      </w:rPr>
    </w:lvl>
    <w:lvl w:ilvl="2" w:tplc="5BEA9B7C">
      <w:start w:val="1"/>
      <w:numFmt w:val="bullet"/>
      <w:lvlText w:val=""/>
      <w:lvlJc w:val="left"/>
      <w:pPr>
        <w:ind w:left="2160" w:hanging="360"/>
      </w:pPr>
      <w:rPr>
        <w:rFonts w:ascii="Wingdings" w:hAnsi="Wingdings" w:hint="default"/>
      </w:rPr>
    </w:lvl>
    <w:lvl w:ilvl="3" w:tplc="89227F10">
      <w:start w:val="1"/>
      <w:numFmt w:val="bullet"/>
      <w:lvlText w:val=""/>
      <w:lvlJc w:val="left"/>
      <w:pPr>
        <w:ind w:left="2880" w:hanging="360"/>
      </w:pPr>
      <w:rPr>
        <w:rFonts w:ascii="Symbol" w:hAnsi="Symbol" w:hint="default"/>
      </w:rPr>
    </w:lvl>
    <w:lvl w:ilvl="4" w:tplc="07FE1CE4">
      <w:start w:val="1"/>
      <w:numFmt w:val="bullet"/>
      <w:lvlText w:val="o"/>
      <w:lvlJc w:val="left"/>
      <w:pPr>
        <w:ind w:left="3600" w:hanging="360"/>
      </w:pPr>
      <w:rPr>
        <w:rFonts w:ascii="Courier New" w:hAnsi="Courier New" w:cs="Courier New" w:hint="default"/>
      </w:rPr>
    </w:lvl>
    <w:lvl w:ilvl="5" w:tplc="D61A2F8C">
      <w:start w:val="1"/>
      <w:numFmt w:val="bullet"/>
      <w:lvlText w:val=""/>
      <w:lvlJc w:val="left"/>
      <w:pPr>
        <w:ind w:left="4320" w:hanging="360"/>
      </w:pPr>
      <w:rPr>
        <w:rFonts w:ascii="Wingdings" w:hAnsi="Wingdings" w:hint="default"/>
      </w:rPr>
    </w:lvl>
    <w:lvl w:ilvl="6" w:tplc="7DF6C38C">
      <w:start w:val="1"/>
      <w:numFmt w:val="bullet"/>
      <w:lvlText w:val=""/>
      <w:lvlJc w:val="left"/>
      <w:pPr>
        <w:ind w:left="5040" w:hanging="360"/>
      </w:pPr>
      <w:rPr>
        <w:rFonts w:ascii="Symbol" w:hAnsi="Symbol" w:hint="default"/>
      </w:rPr>
    </w:lvl>
    <w:lvl w:ilvl="7" w:tplc="8C447524">
      <w:start w:val="1"/>
      <w:numFmt w:val="bullet"/>
      <w:lvlText w:val="o"/>
      <w:lvlJc w:val="left"/>
      <w:pPr>
        <w:ind w:left="5760" w:hanging="360"/>
      </w:pPr>
      <w:rPr>
        <w:rFonts w:ascii="Courier New" w:hAnsi="Courier New" w:cs="Courier New" w:hint="default"/>
      </w:rPr>
    </w:lvl>
    <w:lvl w:ilvl="8" w:tplc="68E0E996">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2"/>
  </w:num>
  <w:num w:numId="4">
    <w:abstractNumId w:val="7"/>
  </w:num>
  <w:num w:numId="5">
    <w:abstractNumId w:val="30"/>
  </w:num>
  <w:num w:numId="6">
    <w:abstractNumId w:val="4"/>
  </w:num>
  <w:num w:numId="7">
    <w:abstractNumId w:val="19"/>
  </w:num>
  <w:num w:numId="8">
    <w:abstractNumId w:val="0"/>
  </w:num>
  <w:num w:numId="9">
    <w:abstractNumId w:val="10"/>
  </w:num>
  <w:num w:numId="10">
    <w:abstractNumId w:val="12"/>
  </w:num>
  <w:num w:numId="11">
    <w:abstractNumId w:val="14"/>
  </w:num>
  <w:num w:numId="12">
    <w:abstractNumId w:val="16"/>
  </w:num>
  <w:num w:numId="13">
    <w:abstractNumId w:val="15"/>
  </w:num>
  <w:num w:numId="14">
    <w:abstractNumId w:val="29"/>
  </w:num>
  <w:num w:numId="15">
    <w:abstractNumId w:val="23"/>
  </w:num>
  <w:num w:numId="16">
    <w:abstractNumId w:val="3"/>
  </w:num>
  <w:num w:numId="17">
    <w:abstractNumId w:val="8"/>
  </w:num>
  <w:num w:numId="18">
    <w:abstractNumId w:val="21"/>
  </w:num>
  <w:num w:numId="19">
    <w:abstractNumId w:val="26"/>
  </w:num>
  <w:num w:numId="20">
    <w:abstractNumId w:val="27"/>
  </w:num>
  <w:num w:numId="21">
    <w:abstractNumId w:val="20"/>
  </w:num>
  <w:num w:numId="22">
    <w:abstractNumId w:val="1"/>
  </w:num>
  <w:num w:numId="23">
    <w:abstractNumId w:val="28"/>
  </w:num>
  <w:num w:numId="24">
    <w:abstractNumId w:val="5"/>
  </w:num>
  <w:num w:numId="25">
    <w:abstractNumId w:val="13"/>
  </w:num>
  <w:num w:numId="26">
    <w:abstractNumId w:val="11"/>
  </w:num>
  <w:num w:numId="27">
    <w:abstractNumId w:val="2"/>
  </w:num>
  <w:num w:numId="28">
    <w:abstractNumId w:val="24"/>
  </w:num>
  <w:num w:numId="29">
    <w:abstractNumId w:val="9"/>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B88"/>
    <w:rsid w:val="0002690E"/>
    <w:rsid w:val="00135326"/>
    <w:rsid w:val="002A58F4"/>
    <w:rsid w:val="004161B0"/>
    <w:rsid w:val="00506B88"/>
    <w:rsid w:val="0059340B"/>
    <w:rsid w:val="005E210F"/>
    <w:rsid w:val="005E4A71"/>
    <w:rsid w:val="007407A8"/>
    <w:rsid w:val="007E4647"/>
    <w:rsid w:val="008E5037"/>
    <w:rsid w:val="008F66B5"/>
    <w:rsid w:val="00B54E3A"/>
    <w:rsid w:val="00C352DD"/>
    <w:rsid w:val="00D00384"/>
    <w:rsid w:val="00E21EDF"/>
    <w:rsid w:val="00E30291"/>
    <w:rsid w:val="00E4590B"/>
    <w:rsid w:val="00E734E3"/>
    <w:rsid w:val="00EA7064"/>
    <w:rsid w:val="00EF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F2E4916"/>
  <w15:docId w15:val="{88A208B7-95A3-4957-BB08-A60493D5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Arial" w:eastAsia="Times New Roman" w:hAnsi="Arial" w:cs="Times New Roman"/>
      <w:sz w:val="24"/>
      <w:lang w:eastAsia="ru-RU"/>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Calibri Light" w:hAnsi="Calibri Light" w:cs="Calibri Light"/>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uiPriority w:val="99"/>
    <w:pPr>
      <w:spacing w:after="0" w:line="240" w:lineRule="auto"/>
    </w:pPr>
    <w:rPr>
      <w:rFonts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rFonts w:ascii="Arial" w:eastAsia="Times New Roman" w:hAnsi="Arial" w:cs="Times New Roman"/>
      <w:sz w:val="24"/>
      <w:lang w:eastAsia="ru-RU"/>
    </w:r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677"/>
        <w:tab w:val="right" w:pos="9355"/>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77"/>
        <w:tab w:val="right" w:pos="9355"/>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Pr>
      <w:rFonts w:ascii="Courier New" w:eastAsia="Times New Roman" w:hAnsi="Courier New" w:cs="Courier New"/>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Calibri Light" w:eastAsia="Calibri Light" w:hAnsi="Calibri Light" w:cs="Calibri Light"/>
      <w:color w:val="1F4D78" w:themeColor="accent1" w:themeShade="7F"/>
      <w:sz w:val="24"/>
      <w:szCs w:val="24"/>
    </w:rPr>
  </w:style>
  <w:style w:type="character" w:customStyle="1" w:styleId="hljs-section">
    <w:name w:val="hljs-section"/>
    <w:basedOn w:val="DefaultParagraphFont"/>
  </w:style>
  <w:style w:type="character" w:customStyle="1" w:styleId="hljs-bullet">
    <w:name w:val="hljs-bullet"/>
    <w:basedOn w:val="DefaultParagraphFont"/>
  </w:style>
  <w:style w:type="character" w:customStyle="1" w:styleId="ListParagraphChar">
    <w:name w:val="List Paragraph Char"/>
    <w:basedOn w:val="DefaultParagraphFont"/>
    <w:link w:val="ListParagraph"/>
    <w:uiPriority w:val="34"/>
  </w:style>
  <w:style w:type="paragraph" w:customStyle="1" w:styleId="HEAD1">
    <w:name w:val="HEAD1"/>
    <w:basedOn w:val="Normal"/>
    <w:pPr>
      <w:spacing w:after="0" w:line="240" w:lineRule="auto"/>
    </w:pPr>
    <w:rPr>
      <w:rFonts w:ascii="Arial" w:eastAsia="Times New Roman" w:hAnsi="Arial" w:cs="Arial"/>
      <w:b/>
      <w:bCs/>
      <w:sz w:val="20"/>
      <w:lang w:val="en-US" w:eastAsia="el-GR"/>
    </w:rPr>
  </w:style>
  <w:style w:type="character" w:customStyle="1" w:styleId="relative">
    <w:name w:val="relative"/>
    <w:basedOn w:val="DefaultParagraphFont"/>
  </w:style>
  <w:style w:type="paragraph" w:styleId="TOC1">
    <w:name w:val="toc 1"/>
    <w:basedOn w:val="Normal"/>
    <w:next w:val="Normal"/>
    <w:uiPriority w:val="39"/>
    <w:qFormat/>
    <w:pPr>
      <w:spacing w:before="120" w:after="0" w:line="360" w:lineRule="auto"/>
      <w:jc w:val="both"/>
    </w:pPr>
    <w:rPr>
      <w:rFonts w:ascii="Arial" w:eastAsia="Times New Roman" w:hAnsi="Arial" w:cs="Arial"/>
      <w:b/>
      <w:color w:val="002060"/>
      <w:sz w:val="20"/>
    </w:rPr>
  </w:style>
  <w:style w:type="character" w:styleId="Hyperlink">
    <w:name w:val="Hyperlink"/>
    <w:uiPriority w:val="99"/>
    <w:rPr>
      <w:color w:val="0000FF"/>
      <w:u w:val="single"/>
    </w:rPr>
  </w:style>
  <w:style w:type="character" w:customStyle="1" w:styleId="Heading2Char">
    <w:name w:val="Heading 2 Char"/>
    <w:basedOn w:val="DefaultParagraphFont"/>
    <w:link w:val="Heading2"/>
    <w:uiPriority w:val="9"/>
    <w:semiHidden/>
    <w:rPr>
      <w:rFonts w:ascii="Calibri Light" w:eastAsia="Calibri Light" w:hAnsi="Calibri Light" w:cs="Calibri Light"/>
      <w:color w:val="2E74B5" w:themeColor="accent1" w:themeShade="BF"/>
      <w:sz w:val="26"/>
      <w:szCs w:val="26"/>
    </w:rPr>
  </w:style>
  <w:style w:type="paragraph" w:styleId="TOC2">
    <w:name w:val="toc 2"/>
    <w:basedOn w:val="Normal"/>
    <w:next w:val="Normal"/>
    <w:uiPriority w:val="39"/>
    <w:unhideWhenUsed/>
    <w:pPr>
      <w:spacing w:after="100"/>
      <w:ind w:left="22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iraeusbank.ua/ua/home/inappropriate-actions" TargetMode="External"/><Relationship Id="rId18" Type="http://schemas.openxmlformats.org/officeDocument/2006/relationships/image" Target="media/image4.e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package" Target="embeddings/Microsoft_Excel_Worksheet.xlsx"/><Relationship Id="rId7" Type="http://schemas.openxmlformats.org/officeDocument/2006/relationships/image" Target="media/image1.emf"/><Relationship Id="rId12" Type="http://schemas.openxmlformats.org/officeDocument/2006/relationships/image" Target="media/image10.emf"/><Relationship Id="rId17" Type="http://schemas.openxmlformats.org/officeDocument/2006/relationships/package" Target="embeddings/Microsoft_Word_Document1.docx"/><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package" Target="embeddings/Microsoft_Excel_Worksheet3.xlsx"/><Relationship Id="rId28" Type="http://schemas.openxmlformats.org/officeDocument/2006/relationships/theme" Target="theme/theme1.xml"/><Relationship Id="rId19" Type="http://schemas.openxmlformats.org/officeDocument/2006/relationships/package" Target="embeddings/Microsoft_Word_Document2.docx"/><Relationship Id="rId31" Type="http://schemas.microsoft.com/office/2016/09/relationships/commentsIds" Target="commentsIds.xml"/><Relationship Id="rId4"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16</Pages>
  <Words>24905</Words>
  <Characters>14196</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Valiarovska Valentyna</dc:creator>
  <cp:lastModifiedBy>Valiarovska Valentyna</cp:lastModifiedBy>
  <cp:revision>14</cp:revision>
  <dcterms:created xsi:type="dcterms:W3CDTF">2025-12-10T14:23:00Z</dcterms:created>
  <dcterms:modified xsi:type="dcterms:W3CDTF">2026-01-06T07:06:00Z</dcterms:modified>
</cp:coreProperties>
</file>