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A5D7C" w14:textId="77777777" w:rsidR="007F3ABB" w:rsidRPr="00986DAB" w:rsidRDefault="009C764B">
      <w:pPr>
        <w:pBdr>
          <w:top w:val="none" w:sz="4" w:space="0" w:color="000000"/>
          <w:left w:val="none" w:sz="4" w:space="0" w:color="000000"/>
          <w:bottom w:val="none" w:sz="4" w:space="0" w:color="000000"/>
          <w:right w:val="none" w:sz="4" w:space="0" w:color="000000"/>
          <w:between w:val="none" w:sz="4" w:space="0" w:color="000000"/>
        </w:pBdr>
        <w:spacing w:after="0" w:line="240" w:lineRule="auto"/>
        <w:ind w:left="4962"/>
        <w:jc w:val="both"/>
        <w:rPr>
          <w:rFonts w:ascii="Arial" w:eastAsia="Times New Roman" w:hAnsi="Arial" w:cs="Arial"/>
          <w:b/>
          <w:bCs/>
          <w:color w:val="002060"/>
          <w:sz w:val="20"/>
          <w:lang w:val="en-GB" w:eastAsia="el-GR"/>
        </w:rPr>
      </w:pPr>
      <w:r w:rsidRPr="00986DAB">
        <w:rPr>
          <w:rFonts w:ascii="Arial" w:eastAsia="Times New Roman" w:hAnsi="Arial" w:cs="Arial"/>
          <w:b/>
          <w:bCs/>
          <w:noProof/>
          <w:color w:val="002060"/>
          <w:sz w:val="20"/>
          <w:lang w:eastAsia="uk-UA"/>
        </w:rPr>
        <mc:AlternateContent>
          <mc:Choice Requires="wps">
            <w:drawing>
              <wp:anchor distT="0" distB="0" distL="114300" distR="114300" simplePos="0" relativeHeight="251659264" behindDoc="1" locked="0" layoutInCell="1" allowOverlap="1" wp14:anchorId="56268BE7" wp14:editId="1FD211E2">
                <wp:simplePos x="0" y="0"/>
                <wp:positionH relativeFrom="margin">
                  <wp:align>right</wp:align>
                </wp:positionH>
                <wp:positionV relativeFrom="paragraph">
                  <wp:posOffset>28575</wp:posOffset>
                </wp:positionV>
                <wp:extent cx="6070821" cy="8181893"/>
                <wp:effectExtent l="19050" t="19050" r="44450" b="292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821" cy="8181893"/>
                        </a:xfrm>
                        <a:prstGeom prst="rect">
                          <a:avLst/>
                        </a:prstGeom>
                        <a:solidFill>
                          <a:srgbClr val="FFFFFF"/>
                        </a:solidFill>
                        <a:ln w="57150" cmpd="thickThin">
                          <a:solidFill>
                            <a:srgbClr val="1F497D"/>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Rectangle 3" style="position:absolute;margin-left:426.8pt;margin-top:2.25pt;width:478pt;height:644.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strokecolor="#1f497d" strokeweigh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" w14:anchorId="64EC8647">
                <v:stroke linestyle="thickThin"/>
                <w10:wrap anchorx="margin"/>
              </v:rect>
            </w:pict>
          </mc:Fallback>
        </mc:AlternateContent>
      </w:r>
    </w:p>
    <w:p w14:paraId="69F12BF8" w14:textId="77777777" w:rsidR="007F3ABB" w:rsidRPr="00986DAB" w:rsidRDefault="009C764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Times New Roman" w:hAnsi="Arial" w:cs="Arial"/>
          <w:bCs/>
          <w:color w:val="002060"/>
          <w:sz w:val="20"/>
          <w:lang w:val="en-GB" w:eastAsia="el-GR"/>
        </w:rPr>
      </w:pPr>
      <w:r w:rsidRPr="00986DAB">
        <w:rPr>
          <w:rFonts w:ascii="Arial" w:eastAsia="Times New Roman" w:hAnsi="Arial" w:cs="Arial"/>
          <w:b/>
          <w:bCs/>
          <w:noProof/>
          <w:color w:val="002060"/>
          <w:sz w:val="20"/>
          <w:lang w:eastAsia="uk-UA"/>
        </w:rPr>
        <w:drawing>
          <wp:inline distT="0" distB="0" distL="0" distR="0" wp14:anchorId="5904D355" wp14:editId="292C419E">
            <wp:extent cx="1136650" cy="387350"/>
            <wp:effectExtent l="19050" t="0" r="6350" b="0"/>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8"/>
                    <pic:cNvPicPr>
                      <a:picLocks noChangeAspect="1"/>
                    </pic:cNvPicPr>
                  </pic:nvPicPr>
                  <pic:blipFill>
                    <a:blip r:embed="rId7"/>
                    <a:srcRect l="6847" t="12820" r="21317" b="17075"/>
                    <a:stretch/>
                  </pic:blipFill>
                  <pic:spPr bwMode="auto">
                    <a:xfrm>
                      <a:off x="0" y="0"/>
                      <a:ext cx="1136650" cy="387350"/>
                    </a:xfrm>
                    <a:prstGeom prst="rect">
                      <a:avLst/>
                    </a:prstGeom>
                    <a:noFill/>
                    <a:ln w="9525">
                      <a:noFill/>
                      <a:miter lim="800000"/>
                      <a:headEnd/>
                      <a:tailEnd/>
                    </a:ln>
                  </pic:spPr>
                </pic:pic>
              </a:graphicData>
            </a:graphic>
          </wp:inline>
        </w:drawing>
      </w:r>
      <w:r w:rsidRPr="00986DAB">
        <w:rPr>
          <w:rFonts w:ascii="Arial" w:eastAsia="Times New Roman" w:hAnsi="Arial" w:cs="Arial"/>
          <w:bCs/>
          <w:color w:val="002060"/>
          <w:sz w:val="20"/>
          <w:lang w:val="en-GB" w:eastAsia="el-GR"/>
        </w:rPr>
        <w:t xml:space="preserve">                                                                                                        </w:t>
      </w:r>
    </w:p>
    <w:p w14:paraId="6430C5B3"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Times New Roman" w:hAnsi="Arial" w:cs="Arial"/>
          <w:bCs/>
          <w:color w:val="002060"/>
          <w:sz w:val="20"/>
          <w:lang w:val="en-GB" w:eastAsia="el-GR"/>
        </w:rPr>
      </w:pPr>
    </w:p>
    <w:p w14:paraId="3E1D407D" w14:textId="07F6C2AE" w:rsidR="007F3ABB" w:rsidRPr="00986DAB" w:rsidRDefault="009C764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Cs/>
          <w:i/>
          <w:color w:val="002060"/>
          <w:sz w:val="24"/>
          <w:szCs w:val="24"/>
          <w:lang w:val="en-GB" w:eastAsia="el-GR"/>
        </w:rPr>
      </w:pPr>
      <w:r w:rsidRPr="00986DAB">
        <w:rPr>
          <w:rFonts w:ascii="Arial" w:eastAsia="Times New Roman" w:hAnsi="Arial" w:cs="Arial"/>
          <w:bCs/>
          <w:color w:val="002060"/>
          <w:sz w:val="20"/>
          <w:lang w:val="en-GB" w:eastAsia="el-GR"/>
        </w:rPr>
        <w:t xml:space="preserve">                                                                                      </w:t>
      </w:r>
      <w:r w:rsidR="00F30C13" w:rsidRPr="00986DAB">
        <w:rPr>
          <w:rFonts w:ascii="Arial" w:eastAsia="Times New Roman" w:hAnsi="Arial" w:cs="Arial"/>
          <w:bCs/>
          <w:color w:val="002060"/>
          <w:sz w:val="20"/>
          <w:lang w:val="en-GB" w:eastAsia="el-GR"/>
        </w:rPr>
        <w:tab/>
      </w:r>
      <w:r w:rsidR="00F30C13" w:rsidRPr="00986DAB">
        <w:rPr>
          <w:rFonts w:ascii="Arial" w:eastAsia="Times New Roman" w:hAnsi="Arial" w:cs="Arial"/>
          <w:bCs/>
          <w:color w:val="002060"/>
          <w:sz w:val="20"/>
          <w:lang w:val="en-GB" w:eastAsia="el-GR"/>
        </w:rPr>
        <w:tab/>
      </w:r>
      <w:r w:rsidR="00C87EDF" w:rsidRPr="00986DAB">
        <w:rPr>
          <w:rFonts w:ascii="Arial" w:eastAsia="Times New Roman" w:hAnsi="Arial" w:cs="Arial"/>
          <w:bCs/>
          <w:color w:val="002060"/>
          <w:sz w:val="20"/>
          <w:lang w:val="en-GB" w:eastAsia="el-GR"/>
        </w:rPr>
        <w:t xml:space="preserve">       </w:t>
      </w:r>
      <w:r w:rsidR="00581FA3" w:rsidRPr="00986DAB">
        <w:rPr>
          <w:rFonts w:ascii="Arial" w:eastAsia="Times New Roman" w:hAnsi="Arial" w:cs="Arial"/>
          <w:bCs/>
          <w:i/>
          <w:color w:val="002060"/>
          <w:sz w:val="20"/>
          <w:lang w:val="en-GB" w:eastAsia="el-GR"/>
        </w:rPr>
        <w:t xml:space="preserve">For official use only </w:t>
      </w:r>
    </w:p>
    <w:p w14:paraId="033FDACC"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Cs/>
          <w:i/>
          <w:color w:val="002060"/>
          <w:sz w:val="24"/>
          <w:szCs w:val="24"/>
          <w:lang w:val="en-GB" w:eastAsia="el-GR"/>
        </w:rPr>
      </w:pPr>
    </w:p>
    <w:p w14:paraId="43B9805A"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Cs/>
          <w:i/>
          <w:color w:val="002060"/>
          <w:sz w:val="24"/>
          <w:szCs w:val="24"/>
          <w:lang w:val="en-GB" w:eastAsia="el-GR"/>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246"/>
      </w:tblGrid>
      <w:tr w:rsidR="007F3ABB" w:rsidRPr="00986DAB" w14:paraId="01C9DD17" w14:textId="77777777">
        <w:tc>
          <w:tcPr>
            <w:tcW w:w="4672" w:type="dxa"/>
          </w:tcPr>
          <w:p w14:paraId="3E7DD809" w14:textId="2ABBEA68" w:rsidR="007F3ABB" w:rsidRPr="00986DAB" w:rsidRDefault="00326B6D">
            <w:pPr>
              <w:spacing w:line="360" w:lineRule="auto"/>
              <w:ind w:firstLine="176"/>
              <w:rPr>
                <w:rFonts w:ascii="Times New Roman" w:eastAsia="Times New Roman" w:hAnsi="Times New Roman"/>
                <w:b/>
                <w:bCs/>
                <w:color w:val="002060"/>
                <w:sz w:val="24"/>
                <w:szCs w:val="24"/>
                <w:lang w:val="en-GB" w:eastAsia="el-GR"/>
              </w:rPr>
            </w:pPr>
            <w:r>
              <w:rPr>
                <w:rFonts w:ascii="Times New Roman" w:eastAsia="Times New Roman" w:hAnsi="Times New Roman"/>
                <w:b/>
                <w:bCs/>
                <w:color w:val="002060"/>
                <w:sz w:val="24"/>
                <w:szCs w:val="24"/>
                <w:lang w:val="en-GB" w:eastAsia="el-GR"/>
              </w:rPr>
              <w:t>A</w:t>
            </w:r>
            <w:r>
              <w:rPr>
                <w:rFonts w:ascii="Times New Roman" w:eastAsia="Times New Roman" w:hAnsi="Times New Roman"/>
                <w:b/>
                <w:bCs/>
                <w:color w:val="002060"/>
                <w:sz w:val="24"/>
                <w:szCs w:val="24"/>
                <w:lang w:val="en-US" w:eastAsia="el-GR"/>
              </w:rPr>
              <w:t>GRE</w:t>
            </w:r>
            <w:r w:rsidR="009C764B" w:rsidRPr="00986DAB">
              <w:rPr>
                <w:rFonts w:ascii="Times New Roman" w:eastAsia="Times New Roman" w:hAnsi="Times New Roman"/>
                <w:b/>
                <w:bCs/>
                <w:color w:val="002060"/>
                <w:sz w:val="24"/>
                <w:szCs w:val="24"/>
                <w:lang w:val="en-GB" w:eastAsia="el-GR"/>
              </w:rPr>
              <w:t>ED</w:t>
            </w:r>
          </w:p>
          <w:p w14:paraId="7CD5ABDB" w14:textId="77777777" w:rsidR="007F3ABB" w:rsidRPr="00986DAB" w:rsidRDefault="009C764B">
            <w:pPr>
              <w:ind w:firstLine="176"/>
              <w:rPr>
                <w:rFonts w:ascii="Times New Roman" w:eastAsia="Times New Roman" w:hAnsi="Times New Roman"/>
                <w:b/>
                <w:bCs/>
                <w:color w:val="002060"/>
                <w:sz w:val="24"/>
                <w:szCs w:val="24"/>
                <w:lang w:val="en-GB" w:eastAsia="el-GR"/>
              </w:rPr>
            </w:pPr>
            <w:r w:rsidRPr="00986DAB">
              <w:rPr>
                <w:rFonts w:ascii="Times New Roman" w:eastAsia="Times New Roman" w:hAnsi="Times New Roman"/>
                <w:b/>
                <w:bCs/>
                <w:color w:val="002060"/>
                <w:sz w:val="24"/>
                <w:szCs w:val="24"/>
                <w:lang w:val="en-GB" w:eastAsia="el-GR"/>
              </w:rPr>
              <w:t xml:space="preserve">By decision of the Management Board </w:t>
            </w:r>
          </w:p>
          <w:p w14:paraId="2C2EE18D" w14:textId="77777777" w:rsidR="007F3ABB" w:rsidRPr="00986DAB" w:rsidRDefault="009C764B">
            <w:pPr>
              <w:ind w:firstLine="176"/>
              <w:rPr>
                <w:rFonts w:ascii="Times New Roman" w:eastAsia="Times New Roman" w:hAnsi="Times New Roman"/>
                <w:b/>
                <w:bCs/>
                <w:color w:val="002060"/>
                <w:sz w:val="24"/>
                <w:szCs w:val="24"/>
                <w:lang w:val="en-GB" w:eastAsia="el-GR"/>
              </w:rPr>
            </w:pPr>
            <w:r w:rsidRPr="00986DAB">
              <w:rPr>
                <w:rFonts w:ascii="Times New Roman" w:eastAsia="Times New Roman" w:hAnsi="Times New Roman"/>
                <w:b/>
                <w:bCs/>
                <w:color w:val="002060"/>
                <w:sz w:val="24"/>
                <w:szCs w:val="24"/>
                <w:lang w:val="en-GB" w:eastAsia="el-GR"/>
              </w:rPr>
              <w:t xml:space="preserve">of JSC "PIRAEUS BANK ICB" </w:t>
            </w:r>
          </w:p>
          <w:p w14:paraId="1D8FB4C4" w14:textId="77777777" w:rsidR="007F3ABB" w:rsidRPr="00986DAB" w:rsidRDefault="007F3ABB">
            <w:pPr>
              <w:ind w:firstLine="176"/>
              <w:rPr>
                <w:rFonts w:ascii="Times New Roman" w:eastAsia="Times New Roman" w:hAnsi="Times New Roman"/>
                <w:b/>
                <w:bCs/>
                <w:color w:val="002060"/>
                <w:sz w:val="24"/>
                <w:szCs w:val="24"/>
                <w:lang w:val="en-GB" w:eastAsia="el-GR"/>
              </w:rPr>
            </w:pPr>
          </w:p>
          <w:p w14:paraId="2D16952D" w14:textId="1334247E" w:rsidR="007F3ABB" w:rsidRPr="00986DAB" w:rsidRDefault="009C764B">
            <w:pPr>
              <w:ind w:firstLine="176"/>
              <w:rPr>
                <w:rFonts w:ascii="Times New Roman" w:eastAsia="Times New Roman" w:hAnsi="Times New Roman"/>
                <w:b/>
                <w:bCs/>
                <w:color w:val="002060"/>
                <w:sz w:val="24"/>
                <w:szCs w:val="24"/>
                <w:lang w:val="en-GB" w:eastAsia="el-GR"/>
              </w:rPr>
            </w:pPr>
            <w:r w:rsidRPr="00986DAB">
              <w:rPr>
                <w:rFonts w:ascii="Times New Roman" w:eastAsia="Times New Roman" w:hAnsi="Times New Roman"/>
                <w:b/>
                <w:bCs/>
                <w:color w:val="002060"/>
                <w:sz w:val="24"/>
                <w:szCs w:val="24"/>
                <w:lang w:val="en-GB" w:eastAsia="el-GR"/>
              </w:rPr>
              <w:t xml:space="preserve">Minutes No. </w:t>
            </w:r>
            <w:r w:rsidR="00EC51E2" w:rsidRPr="00EC51E2">
              <w:rPr>
                <w:rFonts w:ascii="Times New Roman" w:eastAsia="Times New Roman" w:hAnsi="Times New Roman"/>
                <w:b/>
                <w:bCs/>
                <w:color w:val="002060"/>
                <w:sz w:val="24"/>
                <w:szCs w:val="24"/>
                <w:lang w:val="en-GB" w:eastAsia="el-GR"/>
              </w:rPr>
              <w:t>136_1225</w:t>
            </w:r>
          </w:p>
          <w:p w14:paraId="5665AE3F" w14:textId="5BF84682" w:rsidR="007F3ABB" w:rsidRPr="00986DAB" w:rsidRDefault="009C764B">
            <w:pPr>
              <w:ind w:firstLine="176"/>
              <w:rPr>
                <w:rFonts w:ascii="Times New Roman" w:eastAsia="Times New Roman" w:hAnsi="Times New Roman"/>
                <w:b/>
                <w:bCs/>
                <w:color w:val="002060"/>
                <w:sz w:val="24"/>
                <w:szCs w:val="24"/>
                <w:lang w:val="en-GB" w:eastAsia="el-GR"/>
              </w:rPr>
            </w:pPr>
            <w:r w:rsidRPr="00986DAB">
              <w:rPr>
                <w:rFonts w:ascii="Times New Roman" w:eastAsia="Times New Roman" w:hAnsi="Times New Roman"/>
                <w:b/>
                <w:bCs/>
                <w:color w:val="002060"/>
                <w:sz w:val="24"/>
                <w:szCs w:val="24"/>
                <w:lang w:val="en-GB" w:eastAsia="el-GR"/>
              </w:rPr>
              <w:t xml:space="preserve">dated </w:t>
            </w:r>
            <w:r w:rsidR="00EC51E2" w:rsidRPr="004161B0">
              <w:rPr>
                <w:rFonts w:ascii="Times New Roman" w:eastAsia="Times New Roman" w:hAnsi="Times New Roman"/>
                <w:b/>
                <w:bCs/>
                <w:color w:val="002060"/>
                <w:sz w:val="24"/>
                <w:szCs w:val="24"/>
                <w:lang w:eastAsia="el-GR"/>
              </w:rPr>
              <w:t>19</w:t>
            </w:r>
            <w:r w:rsidR="00EC51E2">
              <w:rPr>
                <w:rFonts w:ascii="Times New Roman" w:eastAsia="Times New Roman" w:hAnsi="Times New Roman"/>
                <w:b/>
                <w:bCs/>
                <w:color w:val="002060"/>
                <w:sz w:val="24"/>
                <w:szCs w:val="24"/>
                <w:lang w:val="uk-UA" w:eastAsia="el-GR"/>
              </w:rPr>
              <w:t>.</w:t>
            </w:r>
            <w:r w:rsidR="00EC51E2" w:rsidRPr="004161B0">
              <w:rPr>
                <w:rFonts w:ascii="Times New Roman" w:eastAsia="Times New Roman" w:hAnsi="Times New Roman"/>
                <w:b/>
                <w:bCs/>
                <w:color w:val="002060"/>
                <w:sz w:val="24"/>
                <w:szCs w:val="24"/>
                <w:lang w:eastAsia="el-GR"/>
              </w:rPr>
              <w:t>12</w:t>
            </w:r>
            <w:r w:rsidR="00EC51E2">
              <w:rPr>
                <w:rFonts w:ascii="Times New Roman" w:eastAsia="Times New Roman" w:hAnsi="Times New Roman"/>
                <w:b/>
                <w:bCs/>
                <w:color w:val="002060"/>
                <w:sz w:val="24"/>
                <w:szCs w:val="24"/>
                <w:lang w:val="uk-UA" w:eastAsia="el-GR"/>
              </w:rPr>
              <w:t>.</w:t>
            </w:r>
            <w:r w:rsidR="00EC51E2" w:rsidRPr="004161B0">
              <w:rPr>
                <w:rFonts w:ascii="Times New Roman" w:eastAsia="Times New Roman" w:hAnsi="Times New Roman"/>
                <w:b/>
                <w:bCs/>
                <w:color w:val="002060"/>
                <w:sz w:val="24"/>
                <w:szCs w:val="24"/>
                <w:lang w:eastAsia="el-GR"/>
              </w:rPr>
              <w:t>2025</w:t>
            </w:r>
            <w:r w:rsidRPr="00986DAB">
              <w:rPr>
                <w:rFonts w:ascii="Times New Roman" w:eastAsia="Times New Roman" w:hAnsi="Times New Roman"/>
                <w:b/>
                <w:bCs/>
                <w:color w:val="002060"/>
                <w:sz w:val="24"/>
                <w:szCs w:val="24"/>
                <w:lang w:val="en-GB" w:eastAsia="el-GR"/>
              </w:rPr>
              <w:t xml:space="preserve"> </w:t>
            </w:r>
          </w:p>
          <w:p w14:paraId="15DA8AFE" w14:textId="77777777" w:rsidR="007F3ABB" w:rsidRPr="00986DAB" w:rsidRDefault="007F3ABB">
            <w:pPr>
              <w:jc w:val="center"/>
              <w:rPr>
                <w:rFonts w:ascii="Times New Roman" w:eastAsia="Times New Roman" w:hAnsi="Times New Roman"/>
                <w:bCs/>
                <w:i/>
                <w:color w:val="002060"/>
                <w:sz w:val="24"/>
                <w:szCs w:val="24"/>
                <w:lang w:val="en-GB" w:eastAsia="el-GR"/>
              </w:rPr>
            </w:pPr>
          </w:p>
        </w:tc>
        <w:tc>
          <w:tcPr>
            <w:tcW w:w="5246" w:type="dxa"/>
          </w:tcPr>
          <w:p w14:paraId="7C12FF85" w14:textId="77777777" w:rsidR="007F3ABB" w:rsidRPr="00986DAB" w:rsidRDefault="009C764B">
            <w:pPr>
              <w:ind w:firstLine="1320"/>
              <w:rPr>
                <w:rFonts w:ascii="Times New Roman" w:eastAsia="Times New Roman" w:hAnsi="Times New Roman"/>
                <w:b/>
                <w:bCs/>
                <w:color w:val="002060"/>
                <w:sz w:val="24"/>
                <w:szCs w:val="24"/>
                <w:lang w:val="en-GB" w:eastAsia="el-GR"/>
              </w:rPr>
            </w:pPr>
            <w:r w:rsidRPr="00986DAB">
              <w:rPr>
                <w:rFonts w:ascii="Times New Roman" w:eastAsia="Times New Roman" w:hAnsi="Times New Roman"/>
                <w:b/>
                <w:bCs/>
                <w:color w:val="002060"/>
                <w:sz w:val="24"/>
                <w:szCs w:val="24"/>
                <w:lang w:val="en-GB" w:eastAsia="el-GR"/>
              </w:rPr>
              <w:t>APPROVED</w:t>
            </w:r>
          </w:p>
          <w:p w14:paraId="7FE19BEE" w14:textId="77777777" w:rsidR="007F3ABB" w:rsidRPr="00986DAB" w:rsidRDefault="007F3ABB">
            <w:pPr>
              <w:ind w:firstLine="1320"/>
              <w:rPr>
                <w:rFonts w:ascii="Times New Roman" w:eastAsia="Times New Roman" w:hAnsi="Times New Roman"/>
                <w:b/>
                <w:bCs/>
                <w:color w:val="002060"/>
                <w:sz w:val="24"/>
                <w:szCs w:val="24"/>
                <w:lang w:val="en-GB" w:eastAsia="el-GR"/>
              </w:rPr>
            </w:pPr>
          </w:p>
          <w:p w14:paraId="0D27FB2A" w14:textId="77777777" w:rsidR="007F3ABB" w:rsidRPr="00986DAB" w:rsidRDefault="00581FA3">
            <w:pPr>
              <w:ind w:left="1320"/>
              <w:rPr>
                <w:rFonts w:ascii="Times New Roman" w:eastAsia="Times New Roman" w:hAnsi="Times New Roman"/>
                <w:b/>
                <w:bCs/>
                <w:color w:val="002060"/>
                <w:sz w:val="24"/>
                <w:szCs w:val="24"/>
                <w:lang w:val="en-GB" w:eastAsia="el-GR"/>
              </w:rPr>
            </w:pPr>
            <w:r w:rsidRPr="00986DAB">
              <w:rPr>
                <w:rFonts w:ascii="Times New Roman" w:eastAsia="Times New Roman" w:hAnsi="Times New Roman"/>
                <w:b/>
                <w:bCs/>
                <w:color w:val="002060"/>
                <w:sz w:val="24"/>
                <w:szCs w:val="24"/>
                <w:lang w:val="en-GB" w:eastAsia="el-GR"/>
              </w:rPr>
              <w:t>By decision of the Supervisory Board</w:t>
            </w:r>
          </w:p>
          <w:p w14:paraId="51DB3DEB" w14:textId="77777777" w:rsidR="007F3ABB" w:rsidRPr="00986DAB" w:rsidRDefault="009C764B">
            <w:pPr>
              <w:ind w:left="1591" w:hanging="271"/>
              <w:rPr>
                <w:rFonts w:ascii="Times New Roman" w:eastAsia="Times New Roman" w:hAnsi="Times New Roman"/>
                <w:b/>
                <w:bCs/>
                <w:color w:val="002060"/>
                <w:sz w:val="24"/>
                <w:szCs w:val="24"/>
                <w:lang w:val="en-GB" w:eastAsia="el-GR"/>
              </w:rPr>
            </w:pPr>
            <w:r w:rsidRPr="00986DAB">
              <w:rPr>
                <w:rFonts w:ascii="Times New Roman" w:eastAsia="Times New Roman" w:hAnsi="Times New Roman"/>
                <w:b/>
                <w:bCs/>
                <w:color w:val="002060"/>
                <w:sz w:val="24"/>
                <w:szCs w:val="24"/>
                <w:lang w:val="en-GB" w:eastAsia="el-GR"/>
              </w:rPr>
              <w:t xml:space="preserve">JSC "PIRAEUS BANK ICB" </w:t>
            </w:r>
          </w:p>
          <w:p w14:paraId="62E33B08" w14:textId="77777777" w:rsidR="007F3ABB" w:rsidRPr="00986DAB" w:rsidRDefault="007F3ABB">
            <w:pPr>
              <w:ind w:firstLine="1320"/>
              <w:rPr>
                <w:rFonts w:ascii="Times New Roman" w:eastAsia="Times New Roman" w:hAnsi="Times New Roman"/>
                <w:b/>
                <w:bCs/>
                <w:color w:val="002060"/>
                <w:sz w:val="24"/>
                <w:szCs w:val="24"/>
                <w:lang w:val="en-GB" w:eastAsia="el-GR"/>
              </w:rPr>
            </w:pPr>
          </w:p>
          <w:p w14:paraId="425C99DE" w14:textId="7BBFCF31" w:rsidR="007F3ABB" w:rsidRPr="00EC51E2" w:rsidRDefault="00EC51E2">
            <w:pPr>
              <w:ind w:firstLine="1320"/>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en-GB" w:eastAsia="el-GR"/>
              </w:rPr>
              <w:t xml:space="preserve">Minutes No. </w:t>
            </w:r>
            <w:r>
              <w:rPr>
                <w:rFonts w:ascii="Times New Roman" w:eastAsia="Times New Roman" w:hAnsi="Times New Roman"/>
                <w:b/>
                <w:bCs/>
                <w:color w:val="002060"/>
                <w:sz w:val="24"/>
                <w:szCs w:val="24"/>
                <w:lang w:val="uk-UA" w:eastAsia="el-GR"/>
              </w:rPr>
              <w:t>17_25</w:t>
            </w:r>
          </w:p>
          <w:p w14:paraId="7587AC11" w14:textId="315BEBB0" w:rsidR="007F3ABB" w:rsidRPr="00986DAB" w:rsidRDefault="009C764B">
            <w:pPr>
              <w:ind w:firstLine="1320"/>
              <w:rPr>
                <w:rFonts w:ascii="Times New Roman" w:eastAsia="Times New Roman" w:hAnsi="Times New Roman"/>
                <w:b/>
                <w:bCs/>
                <w:color w:val="002060"/>
                <w:sz w:val="24"/>
                <w:szCs w:val="24"/>
                <w:lang w:val="en-GB" w:eastAsia="el-GR"/>
              </w:rPr>
            </w:pPr>
            <w:r w:rsidRPr="00986DAB">
              <w:rPr>
                <w:rFonts w:ascii="Times New Roman" w:eastAsia="Times New Roman" w:hAnsi="Times New Roman"/>
                <w:b/>
                <w:bCs/>
                <w:color w:val="002060"/>
                <w:sz w:val="24"/>
                <w:szCs w:val="24"/>
                <w:lang w:val="en-GB" w:eastAsia="el-GR"/>
              </w:rPr>
              <w:t xml:space="preserve">dated </w:t>
            </w:r>
            <w:r w:rsidR="00EC51E2" w:rsidRPr="00EC51E2">
              <w:rPr>
                <w:rFonts w:ascii="Times New Roman" w:eastAsia="Times New Roman" w:hAnsi="Times New Roman"/>
                <w:b/>
                <w:bCs/>
                <w:color w:val="002060"/>
                <w:sz w:val="24"/>
                <w:szCs w:val="24"/>
                <w:lang w:val="en-GB" w:eastAsia="el-GR"/>
              </w:rPr>
              <w:t>19.12.2025</w:t>
            </w:r>
          </w:p>
          <w:p w14:paraId="70E100E2" w14:textId="77777777" w:rsidR="007F3ABB" w:rsidRPr="00986DAB" w:rsidRDefault="007F3ABB">
            <w:pPr>
              <w:ind w:firstLine="1320"/>
              <w:rPr>
                <w:rFonts w:ascii="Times New Roman" w:eastAsia="Times New Roman" w:hAnsi="Times New Roman"/>
                <w:b/>
                <w:bCs/>
                <w:color w:val="002060"/>
                <w:sz w:val="24"/>
                <w:szCs w:val="24"/>
                <w:lang w:val="en-GB" w:eastAsia="el-GR"/>
              </w:rPr>
            </w:pPr>
          </w:p>
          <w:p w14:paraId="02EBCFEC" w14:textId="77777777" w:rsidR="007F3ABB" w:rsidRPr="00986DAB" w:rsidRDefault="007F3ABB">
            <w:pPr>
              <w:ind w:firstLine="1320"/>
              <w:rPr>
                <w:rFonts w:ascii="Times New Roman" w:eastAsia="Times New Roman" w:hAnsi="Times New Roman"/>
                <w:b/>
                <w:bCs/>
                <w:color w:val="002060"/>
                <w:sz w:val="24"/>
                <w:szCs w:val="24"/>
                <w:lang w:val="en-GB" w:eastAsia="el-GR"/>
              </w:rPr>
            </w:pPr>
          </w:p>
          <w:p w14:paraId="2B9440EA" w14:textId="41BA366A" w:rsidR="007F3ABB" w:rsidRPr="00986DAB" w:rsidRDefault="009C764B">
            <w:pPr>
              <w:ind w:firstLine="1320"/>
              <w:rPr>
                <w:rFonts w:ascii="Times New Roman" w:eastAsia="Times New Roman" w:hAnsi="Times New Roman"/>
                <w:b/>
                <w:bCs/>
                <w:color w:val="002060"/>
                <w:sz w:val="24"/>
                <w:szCs w:val="24"/>
                <w:lang w:val="en-GB" w:eastAsia="el-GR"/>
              </w:rPr>
            </w:pPr>
            <w:r w:rsidRPr="00986DAB">
              <w:rPr>
                <w:rFonts w:ascii="Times New Roman" w:eastAsia="Times New Roman" w:hAnsi="Times New Roman"/>
                <w:b/>
                <w:bCs/>
                <w:color w:val="002060"/>
                <w:sz w:val="24"/>
                <w:szCs w:val="24"/>
                <w:lang w:val="en-GB" w:eastAsia="el-GR"/>
              </w:rPr>
              <w:t xml:space="preserve">Effective as of </w:t>
            </w:r>
            <w:r w:rsidR="00EC51E2" w:rsidRPr="00EC51E2">
              <w:rPr>
                <w:rFonts w:ascii="Times New Roman" w:eastAsia="Times New Roman" w:hAnsi="Times New Roman"/>
                <w:b/>
                <w:bCs/>
                <w:color w:val="002060"/>
                <w:sz w:val="24"/>
                <w:szCs w:val="24"/>
                <w:lang w:val="en-US" w:eastAsia="el-GR"/>
              </w:rPr>
              <w:t>19</w:t>
            </w:r>
            <w:r w:rsidR="00EC51E2">
              <w:rPr>
                <w:rFonts w:ascii="Times New Roman" w:eastAsia="Times New Roman" w:hAnsi="Times New Roman"/>
                <w:b/>
                <w:bCs/>
                <w:color w:val="002060"/>
                <w:sz w:val="24"/>
                <w:szCs w:val="24"/>
                <w:lang w:val="uk-UA" w:eastAsia="el-GR"/>
              </w:rPr>
              <w:t>.</w:t>
            </w:r>
            <w:r w:rsidR="00EC51E2" w:rsidRPr="00EC51E2">
              <w:rPr>
                <w:rFonts w:ascii="Times New Roman" w:eastAsia="Times New Roman" w:hAnsi="Times New Roman"/>
                <w:b/>
                <w:bCs/>
                <w:color w:val="002060"/>
                <w:sz w:val="24"/>
                <w:szCs w:val="24"/>
                <w:lang w:val="en-US" w:eastAsia="el-GR"/>
              </w:rPr>
              <w:t>12</w:t>
            </w:r>
            <w:r w:rsidR="00EC51E2">
              <w:rPr>
                <w:rFonts w:ascii="Times New Roman" w:eastAsia="Times New Roman" w:hAnsi="Times New Roman"/>
                <w:b/>
                <w:bCs/>
                <w:color w:val="002060"/>
                <w:sz w:val="24"/>
                <w:szCs w:val="24"/>
                <w:lang w:val="uk-UA" w:eastAsia="el-GR"/>
              </w:rPr>
              <w:t>.</w:t>
            </w:r>
            <w:r w:rsidR="00EC51E2" w:rsidRPr="00EC51E2">
              <w:rPr>
                <w:rFonts w:ascii="Times New Roman" w:eastAsia="Times New Roman" w:hAnsi="Times New Roman"/>
                <w:b/>
                <w:bCs/>
                <w:color w:val="002060"/>
                <w:sz w:val="24"/>
                <w:szCs w:val="24"/>
                <w:lang w:val="en-US" w:eastAsia="el-GR"/>
              </w:rPr>
              <w:t>2025</w:t>
            </w:r>
            <w:r w:rsidRPr="00986DAB">
              <w:rPr>
                <w:rFonts w:ascii="Times New Roman" w:eastAsia="Times New Roman" w:hAnsi="Times New Roman"/>
                <w:b/>
                <w:bCs/>
                <w:color w:val="002060"/>
                <w:sz w:val="24"/>
                <w:szCs w:val="24"/>
                <w:lang w:val="en-GB" w:eastAsia="el-GR"/>
              </w:rPr>
              <w:t xml:space="preserve">                 </w:t>
            </w:r>
          </w:p>
          <w:p w14:paraId="718B22FB" w14:textId="77777777" w:rsidR="007F3ABB" w:rsidRPr="00986DAB" w:rsidRDefault="007F3ABB">
            <w:pPr>
              <w:ind w:firstLine="1320"/>
              <w:rPr>
                <w:rFonts w:ascii="Times New Roman" w:eastAsia="Times New Roman" w:hAnsi="Times New Roman"/>
                <w:bCs/>
                <w:i/>
                <w:color w:val="002060"/>
                <w:sz w:val="24"/>
                <w:szCs w:val="24"/>
                <w:lang w:val="en-GB" w:eastAsia="el-GR"/>
              </w:rPr>
            </w:pPr>
          </w:p>
        </w:tc>
      </w:tr>
    </w:tbl>
    <w:p w14:paraId="38337008"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i/>
          <w:color w:val="002060"/>
          <w:sz w:val="24"/>
          <w:szCs w:val="24"/>
          <w:lang w:val="en-GB" w:eastAsia="el-GR"/>
        </w:rPr>
      </w:pPr>
    </w:p>
    <w:p w14:paraId="285DB0FC"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color w:val="002060"/>
          <w:sz w:val="24"/>
          <w:szCs w:val="24"/>
          <w:lang w:val="en-GB" w:eastAsia="el-GR"/>
        </w:rPr>
      </w:pPr>
    </w:p>
    <w:p w14:paraId="2D5B885E"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color w:val="002060"/>
          <w:sz w:val="24"/>
          <w:szCs w:val="24"/>
          <w:lang w:val="en-GB" w:eastAsia="el-GR"/>
        </w:rPr>
      </w:pPr>
    </w:p>
    <w:p w14:paraId="2B8B494E"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color w:val="002060"/>
          <w:sz w:val="24"/>
          <w:szCs w:val="24"/>
          <w:lang w:val="en-GB" w:eastAsia="el-GR"/>
        </w:rPr>
      </w:pPr>
    </w:p>
    <w:p w14:paraId="1987EFEF"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color w:val="002060"/>
          <w:sz w:val="24"/>
          <w:szCs w:val="24"/>
          <w:lang w:val="en-GB" w:eastAsia="el-GR"/>
        </w:rPr>
      </w:pPr>
    </w:p>
    <w:p w14:paraId="6DE20909" w14:textId="77777777" w:rsidR="0093431C" w:rsidRPr="00326B6D" w:rsidRDefault="00BE026C" w:rsidP="00BE026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2060"/>
          <w:sz w:val="28"/>
          <w:szCs w:val="28"/>
          <w:lang w:val="en-GB" w:eastAsia="el-GR"/>
        </w:rPr>
      </w:pPr>
      <w:r w:rsidRPr="00326B6D">
        <w:rPr>
          <w:rFonts w:ascii="Times New Roman" w:eastAsia="Times New Roman" w:hAnsi="Times New Roman" w:cs="Times New Roman"/>
          <w:b/>
          <w:bCs/>
          <w:color w:val="002060"/>
          <w:sz w:val="28"/>
          <w:szCs w:val="28"/>
          <w:lang w:val="en-GB" w:eastAsia="el-GR"/>
        </w:rPr>
        <w:t xml:space="preserve">ENVIRONMENTAL, SOCIAL AND GOVERNANCE </w:t>
      </w:r>
    </w:p>
    <w:p w14:paraId="72A8784E" w14:textId="7C54F999" w:rsidR="00326B6D" w:rsidRPr="00326B6D" w:rsidRDefault="00BE026C" w:rsidP="00BE026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2060"/>
          <w:sz w:val="28"/>
          <w:szCs w:val="28"/>
          <w:lang w:val="en-GB" w:eastAsia="el-GR"/>
        </w:rPr>
      </w:pPr>
      <w:r w:rsidRPr="00326B6D">
        <w:rPr>
          <w:rFonts w:ascii="Times New Roman" w:eastAsia="Times New Roman" w:hAnsi="Times New Roman" w:cs="Times New Roman"/>
          <w:b/>
          <w:bCs/>
          <w:color w:val="002060"/>
          <w:sz w:val="28"/>
          <w:szCs w:val="28"/>
          <w:lang w:val="en-GB" w:eastAsia="el-GR"/>
        </w:rPr>
        <w:t>RISK</w:t>
      </w:r>
      <w:r w:rsidR="001A2FC1">
        <w:rPr>
          <w:rFonts w:ascii="Times New Roman" w:eastAsia="Times New Roman" w:hAnsi="Times New Roman" w:cs="Times New Roman"/>
          <w:b/>
          <w:bCs/>
          <w:color w:val="002060"/>
          <w:sz w:val="28"/>
          <w:szCs w:val="28"/>
          <w:lang w:val="en-GB" w:eastAsia="el-GR"/>
        </w:rPr>
        <w:t>S</w:t>
      </w:r>
      <w:r w:rsidRPr="00326B6D">
        <w:rPr>
          <w:rFonts w:ascii="Times New Roman" w:eastAsia="Times New Roman" w:hAnsi="Times New Roman" w:cs="Times New Roman"/>
          <w:b/>
          <w:bCs/>
          <w:color w:val="002060"/>
          <w:sz w:val="28"/>
          <w:szCs w:val="28"/>
          <w:lang w:val="en-GB" w:eastAsia="el-GR"/>
        </w:rPr>
        <w:t xml:space="preserve"> MANAGEMENT POLICY </w:t>
      </w:r>
    </w:p>
    <w:p w14:paraId="1D09A698" w14:textId="77777777" w:rsidR="00326B6D" w:rsidRPr="00326B6D" w:rsidRDefault="00326B6D" w:rsidP="00BE026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2060"/>
          <w:sz w:val="28"/>
          <w:szCs w:val="28"/>
          <w:lang w:val="en-GB" w:eastAsia="el-GR"/>
        </w:rPr>
      </w:pPr>
    </w:p>
    <w:p w14:paraId="1EA4FC91" w14:textId="07FD5745" w:rsidR="007F3ABB" w:rsidRPr="00326B6D" w:rsidRDefault="00BE026C" w:rsidP="00BE026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2060"/>
          <w:sz w:val="28"/>
          <w:szCs w:val="28"/>
          <w:lang w:val="en-GB" w:eastAsia="el-GR"/>
        </w:rPr>
      </w:pPr>
      <w:r w:rsidRPr="00326B6D">
        <w:rPr>
          <w:rFonts w:ascii="Times New Roman" w:eastAsia="Times New Roman" w:hAnsi="Times New Roman" w:cs="Times New Roman"/>
          <w:b/>
          <w:bCs/>
          <w:color w:val="002060"/>
          <w:sz w:val="28"/>
          <w:szCs w:val="28"/>
          <w:lang w:val="en-GB" w:eastAsia="el-GR"/>
        </w:rPr>
        <w:t xml:space="preserve">AT </w:t>
      </w:r>
      <w:r w:rsidR="009C764B" w:rsidRPr="00326B6D">
        <w:rPr>
          <w:rFonts w:ascii="Times New Roman" w:eastAsia="Times New Roman" w:hAnsi="Times New Roman"/>
          <w:b/>
          <w:bCs/>
          <w:color w:val="002060"/>
          <w:sz w:val="28"/>
          <w:szCs w:val="28"/>
          <w:lang w:val="en-GB" w:eastAsia="el-GR"/>
        </w:rPr>
        <w:t>JSC "PIRAEUS BANK ICB"</w:t>
      </w:r>
    </w:p>
    <w:p w14:paraId="3A7A11AE"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2060"/>
          <w:sz w:val="24"/>
          <w:szCs w:val="24"/>
          <w:lang w:val="en-GB" w:eastAsia="el-GR"/>
        </w:rPr>
      </w:pPr>
    </w:p>
    <w:p w14:paraId="7805133A"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color w:val="002060"/>
          <w:sz w:val="24"/>
          <w:szCs w:val="24"/>
          <w:lang w:val="en-GB" w:eastAsia="el-GR"/>
        </w:rPr>
      </w:pPr>
    </w:p>
    <w:p w14:paraId="75BFA229"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color w:val="002060"/>
          <w:sz w:val="24"/>
          <w:szCs w:val="24"/>
          <w:lang w:val="en-GB" w:eastAsia="el-GR"/>
        </w:rPr>
      </w:pPr>
    </w:p>
    <w:p w14:paraId="53BCF61B" w14:textId="77777777" w:rsidR="007F3ABB" w:rsidRPr="00986DAB" w:rsidRDefault="007F3AB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color w:val="002060"/>
          <w:sz w:val="24"/>
          <w:szCs w:val="24"/>
          <w:lang w:val="en-GB" w:eastAsia="el-GR"/>
        </w:rPr>
      </w:pPr>
    </w:p>
    <w:p w14:paraId="133A435A" w14:textId="77777777" w:rsidR="007F3ABB" w:rsidRPr="00986DAB" w:rsidRDefault="007F3ABB">
      <w:pPr>
        <w:pBdr>
          <w:top w:val="none" w:sz="4" w:space="31"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color w:val="002060"/>
          <w:sz w:val="24"/>
          <w:szCs w:val="24"/>
          <w:lang w:val="en-GB" w:eastAsia="el-GR"/>
        </w:rPr>
      </w:pPr>
    </w:p>
    <w:p w14:paraId="3D36897F" w14:textId="77777777" w:rsidR="007F3ABB" w:rsidRPr="00986DAB" w:rsidRDefault="007F3ABB">
      <w:pPr>
        <w:pBdr>
          <w:top w:val="none" w:sz="4" w:space="31"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color w:val="002060"/>
          <w:sz w:val="24"/>
          <w:szCs w:val="24"/>
          <w:lang w:val="en-GB" w:eastAsia="el-GR"/>
        </w:rPr>
      </w:pPr>
    </w:p>
    <w:p w14:paraId="704590A5" w14:textId="77777777" w:rsidR="007F3ABB" w:rsidRPr="00986DAB" w:rsidRDefault="007F3ABB">
      <w:pPr>
        <w:pBdr>
          <w:top w:val="none" w:sz="4" w:space="31"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color w:val="002060"/>
          <w:sz w:val="24"/>
          <w:szCs w:val="24"/>
          <w:lang w:val="en-GB" w:eastAsia="el-GR"/>
        </w:rPr>
      </w:pPr>
    </w:p>
    <w:p w14:paraId="37CAFD08" w14:textId="77777777" w:rsidR="007F3ABB" w:rsidRPr="00986DAB" w:rsidRDefault="007F3ABB">
      <w:pPr>
        <w:pBdr>
          <w:top w:val="none" w:sz="4" w:space="31"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color w:val="002060"/>
          <w:sz w:val="24"/>
          <w:szCs w:val="24"/>
          <w:lang w:val="en-GB" w:eastAsia="el-GR"/>
        </w:rPr>
      </w:pPr>
    </w:p>
    <w:p w14:paraId="0159F5C0" w14:textId="77777777" w:rsidR="007F3ABB" w:rsidRPr="00986DAB" w:rsidRDefault="007F3ABB">
      <w:pPr>
        <w:pBdr>
          <w:top w:val="none" w:sz="4" w:space="31"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Cs/>
          <w:color w:val="002060"/>
          <w:sz w:val="24"/>
          <w:szCs w:val="24"/>
          <w:lang w:val="en-GB" w:eastAsia="el-GR"/>
        </w:rPr>
      </w:pPr>
    </w:p>
    <w:p w14:paraId="7335720E" w14:textId="77777777" w:rsidR="007F3ABB" w:rsidRPr="00986DAB" w:rsidRDefault="009C764B">
      <w:pPr>
        <w:pBdr>
          <w:top w:val="none" w:sz="4" w:space="31"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KYIV</w:t>
      </w:r>
    </w:p>
    <w:p w14:paraId="646582D7" w14:textId="77777777" w:rsidR="007F3ABB" w:rsidRPr="00986DAB" w:rsidRDefault="007F3ABB">
      <w:pPr>
        <w:pBdr>
          <w:top w:val="none" w:sz="4" w:space="31"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color w:val="002060"/>
          <w:sz w:val="24"/>
          <w:szCs w:val="24"/>
          <w:lang w:val="en-GB" w:eastAsia="el-GR"/>
        </w:rPr>
      </w:pPr>
    </w:p>
    <w:p w14:paraId="25594BF2" w14:textId="77777777" w:rsidR="00581FA3" w:rsidRPr="00986DAB" w:rsidRDefault="00581FA3">
      <w:pPr>
        <w:spacing w:before="100" w:beforeAutospacing="1" w:after="100" w:afterAutospacing="1" w:line="240" w:lineRule="auto"/>
        <w:ind w:firstLine="567"/>
        <w:rPr>
          <w:rFonts w:ascii="Times New Roman" w:hAnsi="Times New Roman" w:cs="Times New Roman"/>
          <w:b/>
          <w:color w:val="002060"/>
          <w:sz w:val="24"/>
          <w:szCs w:val="24"/>
          <w:lang w:val="en-GB"/>
        </w:rPr>
      </w:pPr>
    </w:p>
    <w:p w14:paraId="6DC35495" w14:textId="77777777" w:rsidR="00581FA3" w:rsidRPr="00986DAB" w:rsidRDefault="00581FA3">
      <w:pPr>
        <w:spacing w:before="100" w:beforeAutospacing="1" w:after="100" w:afterAutospacing="1" w:line="240" w:lineRule="auto"/>
        <w:ind w:firstLine="567"/>
        <w:rPr>
          <w:rFonts w:ascii="Times New Roman" w:hAnsi="Times New Roman" w:cs="Times New Roman"/>
          <w:b/>
          <w:color w:val="002060"/>
          <w:sz w:val="24"/>
          <w:szCs w:val="24"/>
          <w:lang w:val="en-GB"/>
        </w:rPr>
      </w:pPr>
    </w:p>
    <w:p w14:paraId="7990D7E1" w14:textId="77777777" w:rsidR="00581FA3" w:rsidRPr="00986DAB" w:rsidRDefault="00581FA3">
      <w:pPr>
        <w:spacing w:before="100" w:beforeAutospacing="1" w:after="100" w:afterAutospacing="1" w:line="240" w:lineRule="auto"/>
        <w:ind w:firstLine="567"/>
        <w:rPr>
          <w:rFonts w:ascii="Times New Roman" w:hAnsi="Times New Roman" w:cs="Times New Roman"/>
          <w:b/>
          <w:color w:val="002060"/>
          <w:sz w:val="24"/>
          <w:szCs w:val="24"/>
          <w:lang w:val="en-GB"/>
        </w:rPr>
      </w:pPr>
    </w:p>
    <w:p w14:paraId="44B6C767" w14:textId="77777777" w:rsidR="00581FA3" w:rsidRPr="00986DAB" w:rsidRDefault="00581FA3">
      <w:pPr>
        <w:spacing w:before="100" w:beforeAutospacing="1" w:after="100" w:afterAutospacing="1" w:line="240" w:lineRule="auto"/>
        <w:ind w:firstLine="567"/>
        <w:rPr>
          <w:rFonts w:ascii="Times New Roman" w:hAnsi="Times New Roman" w:cs="Times New Roman"/>
          <w:b/>
          <w:color w:val="002060"/>
          <w:sz w:val="24"/>
          <w:szCs w:val="24"/>
          <w:lang w:val="en-GB"/>
        </w:rPr>
      </w:pPr>
    </w:p>
    <w:p w14:paraId="330C8D37" w14:textId="77777777" w:rsidR="00581FA3" w:rsidRPr="00986DAB" w:rsidRDefault="00581FA3">
      <w:pPr>
        <w:spacing w:before="100" w:beforeAutospacing="1" w:after="100" w:afterAutospacing="1" w:line="240" w:lineRule="auto"/>
        <w:ind w:firstLine="567"/>
        <w:rPr>
          <w:rFonts w:ascii="Times New Roman" w:hAnsi="Times New Roman" w:cs="Times New Roman"/>
          <w:b/>
          <w:color w:val="002060"/>
          <w:sz w:val="24"/>
          <w:szCs w:val="24"/>
          <w:lang w:val="en-GB"/>
        </w:rPr>
      </w:pPr>
    </w:p>
    <w:p w14:paraId="039245CF" w14:textId="77777777" w:rsidR="00581FA3" w:rsidRPr="00986DAB" w:rsidRDefault="00581FA3">
      <w:pPr>
        <w:spacing w:before="100" w:beforeAutospacing="1" w:after="100" w:afterAutospacing="1" w:line="240" w:lineRule="auto"/>
        <w:ind w:firstLine="567"/>
        <w:rPr>
          <w:rFonts w:ascii="Times New Roman" w:hAnsi="Times New Roman" w:cs="Times New Roman"/>
          <w:b/>
          <w:color w:val="002060"/>
          <w:sz w:val="24"/>
          <w:szCs w:val="24"/>
          <w:lang w:val="en-GB"/>
        </w:rPr>
      </w:pPr>
    </w:p>
    <w:p w14:paraId="1D8CCCF9" w14:textId="77777777" w:rsidR="007F3ABB" w:rsidRPr="00326B6D" w:rsidRDefault="009C764B" w:rsidP="00326B6D">
      <w:pPr>
        <w:ind w:firstLine="567"/>
        <w:rPr>
          <w:rFonts w:ascii="Times New Roman" w:hAnsi="Times New Roman" w:cs="Times New Roman"/>
          <w:b/>
          <w:color w:val="002060"/>
          <w:sz w:val="24"/>
          <w:szCs w:val="24"/>
          <w:lang w:val="en-GB"/>
        </w:rPr>
      </w:pPr>
      <w:r w:rsidRPr="00326B6D">
        <w:rPr>
          <w:rFonts w:ascii="Times New Roman" w:hAnsi="Times New Roman" w:cs="Times New Roman"/>
          <w:b/>
          <w:color w:val="002060"/>
          <w:sz w:val="24"/>
          <w:szCs w:val="24"/>
          <w:lang w:val="en-GB"/>
        </w:rPr>
        <w:lastRenderedPageBreak/>
        <w:t>SUMMARY</w:t>
      </w:r>
    </w:p>
    <w:p w14:paraId="3DA03DD4" w14:textId="74161343" w:rsidR="002F56E7" w:rsidRPr="00986DAB" w:rsidRDefault="00986DAB" w:rsidP="002F56E7">
      <w:pPr>
        <w:spacing w:before="100" w:beforeAutospacing="1" w:after="100" w:afterAutospacing="1" w:line="240" w:lineRule="auto"/>
        <w:jc w:val="both"/>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Environmental, Social and Governance R</w:t>
      </w:r>
      <w:r w:rsidR="002F56E7" w:rsidRPr="00986DAB">
        <w:rPr>
          <w:rFonts w:ascii="Times New Roman" w:hAnsi="Times New Roman" w:cs="Times New Roman"/>
          <w:color w:val="002060"/>
          <w:sz w:val="24"/>
          <w:szCs w:val="24"/>
          <w:lang w:val="en-GB"/>
        </w:rPr>
        <w:t>isks (ESG risks)</w:t>
      </w:r>
      <w:r w:rsidRPr="00986DAB">
        <w:rPr>
          <w:rFonts w:ascii="Times New Roman" w:hAnsi="Times New Roman" w:cs="Times New Roman"/>
          <w:color w:val="002060"/>
          <w:sz w:val="24"/>
          <w:szCs w:val="24"/>
          <w:lang w:val="en-GB"/>
        </w:rPr>
        <w:t xml:space="preserve"> </w:t>
      </w:r>
      <w:r w:rsidR="001A2FC1">
        <w:rPr>
          <w:rFonts w:ascii="Times New Roman" w:hAnsi="Times New Roman" w:cs="Times New Roman"/>
          <w:color w:val="002060"/>
          <w:sz w:val="24"/>
          <w:szCs w:val="24"/>
          <w:lang w:val="en-GB"/>
        </w:rPr>
        <w:t xml:space="preserve">Management </w:t>
      </w:r>
      <w:r w:rsidR="00935B77">
        <w:rPr>
          <w:rFonts w:ascii="Times New Roman" w:hAnsi="Times New Roman" w:cs="Times New Roman"/>
          <w:color w:val="002060"/>
          <w:sz w:val="24"/>
          <w:szCs w:val="24"/>
          <w:lang w:val="en-GB"/>
        </w:rPr>
        <w:t>P</w:t>
      </w:r>
      <w:r w:rsidRPr="00986DAB">
        <w:rPr>
          <w:rFonts w:ascii="Times New Roman" w:hAnsi="Times New Roman" w:cs="Times New Roman"/>
          <w:color w:val="002060"/>
          <w:sz w:val="24"/>
          <w:szCs w:val="24"/>
          <w:lang w:val="en-GB"/>
        </w:rPr>
        <w:t>olicy</w:t>
      </w:r>
      <w:r w:rsidR="002F56E7" w:rsidRPr="00986DAB">
        <w:rPr>
          <w:rFonts w:ascii="Times New Roman" w:hAnsi="Times New Roman" w:cs="Times New Roman"/>
          <w:color w:val="002060"/>
          <w:sz w:val="24"/>
          <w:szCs w:val="24"/>
          <w:lang w:val="en-GB"/>
        </w:rPr>
        <w:t xml:space="preserve"> at </w:t>
      </w:r>
      <w:r w:rsidRPr="00986DAB">
        <w:rPr>
          <w:rFonts w:ascii="Times New Roman" w:hAnsi="Times New Roman" w:cs="Times New Roman"/>
          <w:color w:val="002060"/>
          <w:sz w:val="24"/>
          <w:szCs w:val="24"/>
          <w:lang w:val="en-GB"/>
        </w:rPr>
        <w:t xml:space="preserve">JSC </w:t>
      </w:r>
      <w:r w:rsidR="00902CF2" w:rsidRPr="00AB6D68">
        <w:rPr>
          <w:rFonts w:ascii="Times New Roman" w:hAnsi="Times New Roman"/>
          <w:color w:val="1F497D"/>
          <w:sz w:val="24"/>
          <w:szCs w:val="24"/>
          <w:lang w:eastAsia="el-GR"/>
        </w:rPr>
        <w:t>"</w:t>
      </w:r>
      <w:r w:rsidR="00902CF2">
        <w:rPr>
          <w:rFonts w:ascii="Times New Roman" w:hAnsi="Times New Roman"/>
          <w:color w:val="1F497D"/>
          <w:sz w:val="24"/>
          <w:szCs w:val="24"/>
          <w:lang w:eastAsia="el-GR"/>
        </w:rPr>
        <w:t>PIRAEUS BANK ICB</w:t>
      </w:r>
      <w:r w:rsidR="00902CF2" w:rsidRPr="00AB6D68">
        <w:rPr>
          <w:rFonts w:ascii="Times New Roman" w:hAnsi="Times New Roman"/>
          <w:color w:val="1F497D"/>
          <w:sz w:val="24"/>
          <w:szCs w:val="24"/>
          <w:lang w:eastAsia="el-GR"/>
        </w:rPr>
        <w:t>"</w:t>
      </w:r>
      <w:r w:rsidR="002F56E7" w:rsidRPr="00986DAB">
        <w:rPr>
          <w:rFonts w:ascii="Times New Roman" w:hAnsi="Times New Roman" w:cs="Times New Roman"/>
          <w:color w:val="002060"/>
          <w:sz w:val="24"/>
          <w:szCs w:val="24"/>
          <w:lang w:val="en-GB"/>
        </w:rPr>
        <w:t xml:space="preserve"> defines the principles and mechanisms for identifying, assessing, monitoring and managing ESG risks arising in the activities of the Bank and its customers.</w:t>
      </w:r>
    </w:p>
    <w:p w14:paraId="4770D1E5" w14:textId="39B9CDFC" w:rsidR="002F56E7" w:rsidRPr="00986DAB" w:rsidRDefault="002F56E7" w:rsidP="002F56E7">
      <w:pPr>
        <w:spacing w:before="100" w:beforeAutospacing="1" w:after="100" w:afterAutospacing="1" w:line="240" w:lineRule="auto"/>
        <w:jc w:val="both"/>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 xml:space="preserve">The document is an adaptation of the Piraeus Bank </w:t>
      </w:r>
      <w:r w:rsidR="00326B6D">
        <w:rPr>
          <w:rFonts w:ascii="Times New Roman" w:hAnsi="Times New Roman" w:cs="Times New Roman"/>
          <w:color w:val="002060"/>
          <w:sz w:val="24"/>
          <w:szCs w:val="24"/>
          <w:lang w:val="en-GB"/>
        </w:rPr>
        <w:t>S.A.</w:t>
      </w:r>
      <w:r w:rsidRPr="00986DAB">
        <w:rPr>
          <w:rFonts w:ascii="Times New Roman" w:hAnsi="Times New Roman" w:cs="Times New Roman"/>
          <w:color w:val="002060"/>
          <w:sz w:val="24"/>
          <w:szCs w:val="24"/>
          <w:lang w:val="en-GB"/>
        </w:rPr>
        <w:t xml:space="preserve"> internal policy and takes into account the requirements of Ukrainian national legislation, NBU regulations, international standards (Equator Principles, IFC standards, EBRD requirements), as well as the Group's sustainable development policy.</w:t>
      </w:r>
    </w:p>
    <w:p w14:paraId="4E311CE6" w14:textId="77777777" w:rsidR="002F56E7" w:rsidRPr="00986DAB" w:rsidRDefault="002F56E7" w:rsidP="002F56E7">
      <w:pPr>
        <w:spacing w:before="100" w:beforeAutospacing="1" w:after="100" w:afterAutospacing="1" w:line="240" w:lineRule="auto"/>
        <w:jc w:val="both"/>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The document establishes:</w:t>
      </w:r>
    </w:p>
    <w:p w14:paraId="4D2E942C" w14:textId="02A8A791" w:rsidR="002F56E7" w:rsidRPr="00986DAB" w:rsidRDefault="002F56E7" w:rsidP="002F56E7">
      <w:pPr>
        <w:numPr>
          <w:ilvl w:val="0"/>
          <w:numId w:val="10"/>
        </w:numPr>
        <w:spacing w:before="100" w:beforeAutospacing="1" w:after="100" w:afterAutospacing="1" w:line="240" w:lineRule="auto"/>
        <w:jc w:val="both"/>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An environmental, social and g</w:t>
      </w:r>
      <w:r w:rsidR="00935B77">
        <w:rPr>
          <w:rFonts w:ascii="Times New Roman" w:hAnsi="Times New Roman" w:cs="Times New Roman"/>
          <w:color w:val="002060"/>
          <w:sz w:val="24"/>
          <w:szCs w:val="24"/>
          <w:lang w:val="en-GB"/>
        </w:rPr>
        <w:t>overnance management system (ES</w:t>
      </w:r>
      <w:r w:rsidRPr="00986DAB">
        <w:rPr>
          <w:rFonts w:ascii="Times New Roman" w:hAnsi="Times New Roman" w:cs="Times New Roman"/>
          <w:color w:val="002060"/>
          <w:sz w:val="24"/>
          <w:szCs w:val="24"/>
          <w:lang w:val="en-GB"/>
        </w:rPr>
        <w:t>MS) as an integrated risk management mechanism.</w:t>
      </w:r>
    </w:p>
    <w:p w14:paraId="0EF7360D" w14:textId="77777777" w:rsidR="002F56E7" w:rsidRPr="00986DAB" w:rsidRDefault="002F56E7" w:rsidP="002F56E7">
      <w:pPr>
        <w:numPr>
          <w:ilvl w:val="0"/>
          <w:numId w:val="10"/>
        </w:numPr>
        <w:spacing w:before="100" w:beforeAutospacing="1" w:after="100" w:afterAutospacing="1" w:line="240" w:lineRule="auto"/>
        <w:jc w:val="both"/>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Risk assessment procedures for lending and investment activities.</w:t>
      </w:r>
    </w:p>
    <w:p w14:paraId="3CE150F0" w14:textId="77777777" w:rsidR="002F56E7" w:rsidRPr="00986DAB" w:rsidRDefault="002F56E7" w:rsidP="002F56E7">
      <w:pPr>
        <w:numPr>
          <w:ilvl w:val="0"/>
          <w:numId w:val="10"/>
        </w:numPr>
        <w:spacing w:before="100" w:beforeAutospacing="1" w:after="100" w:afterAutospacing="1" w:line="240" w:lineRule="auto"/>
        <w:jc w:val="both"/>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A list of exceptions for financing, risk categorisation criteria and monitoring requirements.</w:t>
      </w:r>
    </w:p>
    <w:p w14:paraId="2AEAD437" w14:textId="044B8CC7" w:rsidR="002F56E7" w:rsidRPr="00986DAB" w:rsidRDefault="002F56E7" w:rsidP="002F56E7">
      <w:pPr>
        <w:numPr>
          <w:ilvl w:val="0"/>
          <w:numId w:val="10"/>
        </w:numPr>
        <w:spacing w:before="100" w:beforeAutospacing="1" w:after="100" w:afterAutospacing="1" w:line="240" w:lineRule="auto"/>
        <w:jc w:val="both"/>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The roles and responsibilities of the Ba</w:t>
      </w:r>
      <w:r w:rsidR="00935B77">
        <w:rPr>
          <w:rFonts w:ascii="Times New Roman" w:hAnsi="Times New Roman" w:cs="Times New Roman"/>
          <w:color w:val="002060"/>
          <w:sz w:val="24"/>
          <w:szCs w:val="24"/>
          <w:lang w:val="en-GB"/>
        </w:rPr>
        <w:t>nk's management bodies, u</w:t>
      </w:r>
      <w:r w:rsidRPr="00986DAB">
        <w:rPr>
          <w:rFonts w:ascii="Times New Roman" w:hAnsi="Times New Roman" w:cs="Times New Roman"/>
          <w:color w:val="002060"/>
          <w:sz w:val="24"/>
          <w:szCs w:val="24"/>
          <w:lang w:val="en-GB"/>
        </w:rPr>
        <w:t>n</w:t>
      </w:r>
      <w:r w:rsidR="00935B77">
        <w:rPr>
          <w:rFonts w:ascii="Times New Roman" w:hAnsi="Times New Roman" w:cs="Times New Roman"/>
          <w:color w:val="002060"/>
          <w:sz w:val="24"/>
          <w:szCs w:val="24"/>
          <w:lang w:val="en-GB"/>
        </w:rPr>
        <w:t>i</w:t>
      </w:r>
      <w:r w:rsidRPr="00986DAB">
        <w:rPr>
          <w:rFonts w:ascii="Times New Roman" w:hAnsi="Times New Roman" w:cs="Times New Roman"/>
          <w:color w:val="002060"/>
          <w:sz w:val="24"/>
          <w:szCs w:val="24"/>
          <w:lang w:val="en-GB"/>
        </w:rPr>
        <w:t xml:space="preserve">ts, CRO, Risk Management </w:t>
      </w:r>
      <w:r w:rsidR="00935B77">
        <w:rPr>
          <w:rFonts w:ascii="Times New Roman" w:hAnsi="Times New Roman" w:cs="Times New Roman"/>
          <w:color w:val="002060"/>
          <w:sz w:val="24"/>
          <w:szCs w:val="24"/>
          <w:lang w:val="en-GB"/>
        </w:rPr>
        <w:t>Division</w:t>
      </w:r>
      <w:r w:rsidRPr="00986DAB">
        <w:rPr>
          <w:rFonts w:ascii="Times New Roman" w:hAnsi="Times New Roman" w:cs="Times New Roman"/>
          <w:color w:val="002060"/>
          <w:sz w:val="24"/>
          <w:szCs w:val="24"/>
          <w:lang w:val="en-GB"/>
        </w:rPr>
        <w:t xml:space="preserve"> and green banking specialists.</w:t>
      </w:r>
    </w:p>
    <w:p w14:paraId="0DDC1155" w14:textId="21857CF5" w:rsidR="002F56E7" w:rsidRPr="00986DAB" w:rsidRDefault="002F56E7" w:rsidP="002F56E7">
      <w:pPr>
        <w:numPr>
          <w:ilvl w:val="0"/>
          <w:numId w:val="10"/>
        </w:numPr>
        <w:spacing w:before="100" w:beforeAutospacing="1" w:after="100" w:afterAutospacing="1" w:line="240" w:lineRule="auto"/>
        <w:jc w:val="both"/>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 xml:space="preserve">Internal and external reporting system, including annual review and improvement of </w:t>
      </w:r>
      <w:r w:rsidR="00991C8D" w:rsidRPr="00986DAB">
        <w:rPr>
          <w:rFonts w:ascii="Times New Roman" w:hAnsi="Times New Roman" w:cs="Times New Roman"/>
          <w:color w:val="002060"/>
          <w:sz w:val="24"/>
          <w:szCs w:val="24"/>
          <w:lang w:val="en-GB"/>
        </w:rPr>
        <w:t>ESMS</w:t>
      </w:r>
      <w:r w:rsidRPr="00986DAB">
        <w:rPr>
          <w:rFonts w:ascii="Times New Roman" w:hAnsi="Times New Roman" w:cs="Times New Roman"/>
          <w:color w:val="002060"/>
          <w:sz w:val="24"/>
          <w:szCs w:val="24"/>
          <w:lang w:val="en-GB"/>
        </w:rPr>
        <w:t>.</w:t>
      </w:r>
    </w:p>
    <w:p w14:paraId="4E91AB11" w14:textId="77777777" w:rsidR="007F3ABB" w:rsidRPr="00986DAB" w:rsidRDefault="002F56E7" w:rsidP="002F56E7">
      <w:pPr>
        <w:spacing w:before="100" w:beforeAutospacing="1" w:after="100" w:afterAutospacing="1" w:line="240" w:lineRule="auto"/>
        <w:jc w:val="both"/>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The purpose of the document is to ensure sustainable development, improve risk management efficiency, transparency of activities and stakeholder confidence, as well as harmonise the Bank's policy with EU practices and international commitments.</w:t>
      </w:r>
    </w:p>
    <w:p w14:paraId="455C8610" w14:textId="77777777" w:rsidR="0073287F" w:rsidRPr="00986DAB" w:rsidRDefault="0073287F" w:rsidP="002F56E7">
      <w:pPr>
        <w:spacing w:before="100" w:beforeAutospacing="1" w:after="100" w:afterAutospacing="1" w:line="240" w:lineRule="auto"/>
        <w:jc w:val="both"/>
        <w:rPr>
          <w:rFonts w:ascii="Times New Roman" w:hAnsi="Times New Roman" w:cs="Times New Roman"/>
          <w:color w:val="002060"/>
          <w:sz w:val="24"/>
          <w:szCs w:val="24"/>
          <w:lang w:val="en-GB"/>
        </w:rPr>
      </w:pPr>
    </w:p>
    <w:p w14:paraId="098FFA51" w14:textId="77777777" w:rsidR="0073287F" w:rsidRPr="00986DAB" w:rsidRDefault="0073287F" w:rsidP="002F56E7">
      <w:pPr>
        <w:spacing w:before="100" w:beforeAutospacing="1" w:after="100" w:afterAutospacing="1" w:line="240" w:lineRule="auto"/>
        <w:jc w:val="both"/>
        <w:rPr>
          <w:rFonts w:ascii="Times New Roman" w:hAnsi="Times New Roman" w:cs="Times New Roman"/>
          <w:color w:val="002060"/>
          <w:sz w:val="24"/>
          <w:szCs w:val="24"/>
          <w:lang w:val="en-GB"/>
        </w:rPr>
      </w:pPr>
    </w:p>
    <w:p w14:paraId="7382BB7B" w14:textId="77777777" w:rsidR="0073287F" w:rsidRPr="00986DAB" w:rsidRDefault="0073287F" w:rsidP="002F56E7">
      <w:pPr>
        <w:spacing w:before="100" w:beforeAutospacing="1" w:after="100" w:afterAutospacing="1" w:line="240" w:lineRule="auto"/>
        <w:jc w:val="both"/>
        <w:rPr>
          <w:rFonts w:ascii="Times New Roman" w:hAnsi="Times New Roman" w:cs="Times New Roman"/>
          <w:color w:val="002060"/>
          <w:sz w:val="24"/>
          <w:szCs w:val="24"/>
          <w:lang w:val="en-GB"/>
        </w:rPr>
      </w:pPr>
    </w:p>
    <w:p w14:paraId="795F5784" w14:textId="77777777" w:rsidR="0073287F" w:rsidRPr="00986DAB" w:rsidRDefault="0073287F" w:rsidP="002F56E7">
      <w:pPr>
        <w:spacing w:before="100" w:beforeAutospacing="1" w:after="100" w:afterAutospacing="1" w:line="240" w:lineRule="auto"/>
        <w:jc w:val="both"/>
        <w:rPr>
          <w:rFonts w:ascii="Times New Roman" w:hAnsi="Times New Roman" w:cs="Times New Roman"/>
          <w:color w:val="002060"/>
          <w:sz w:val="24"/>
          <w:szCs w:val="24"/>
          <w:lang w:val="en-GB"/>
        </w:rPr>
      </w:pPr>
    </w:p>
    <w:p w14:paraId="59AD4A47" w14:textId="77777777" w:rsidR="0073287F" w:rsidRPr="00986DAB" w:rsidRDefault="0073287F" w:rsidP="002F56E7">
      <w:pPr>
        <w:spacing w:before="100" w:beforeAutospacing="1" w:after="100" w:afterAutospacing="1" w:line="240" w:lineRule="auto"/>
        <w:jc w:val="both"/>
        <w:rPr>
          <w:rFonts w:ascii="Times New Roman" w:hAnsi="Times New Roman" w:cs="Times New Roman"/>
          <w:color w:val="002060"/>
          <w:sz w:val="24"/>
          <w:szCs w:val="24"/>
          <w:lang w:val="en-GB"/>
        </w:rPr>
      </w:pPr>
    </w:p>
    <w:p w14:paraId="68077236" w14:textId="77777777" w:rsidR="0073287F" w:rsidRPr="00986DAB" w:rsidRDefault="0073287F" w:rsidP="002F56E7">
      <w:pPr>
        <w:spacing w:before="100" w:beforeAutospacing="1" w:after="100" w:afterAutospacing="1" w:line="240" w:lineRule="auto"/>
        <w:jc w:val="both"/>
        <w:rPr>
          <w:rFonts w:ascii="Times New Roman" w:hAnsi="Times New Roman" w:cs="Times New Roman"/>
          <w:color w:val="002060"/>
          <w:sz w:val="24"/>
          <w:szCs w:val="24"/>
          <w:lang w:val="en-GB"/>
        </w:rPr>
      </w:pPr>
    </w:p>
    <w:p w14:paraId="00B57B74" w14:textId="77777777" w:rsidR="0073287F" w:rsidRPr="00986DAB" w:rsidRDefault="0073287F" w:rsidP="002F56E7">
      <w:pPr>
        <w:spacing w:before="100" w:beforeAutospacing="1" w:after="100" w:afterAutospacing="1" w:line="240" w:lineRule="auto"/>
        <w:jc w:val="both"/>
        <w:rPr>
          <w:rFonts w:ascii="Times New Roman" w:hAnsi="Times New Roman" w:cs="Times New Roman"/>
          <w:color w:val="002060"/>
          <w:sz w:val="24"/>
          <w:szCs w:val="24"/>
          <w:lang w:val="en-GB"/>
        </w:rPr>
      </w:pPr>
    </w:p>
    <w:p w14:paraId="4D4DD1F4" w14:textId="70BB6382" w:rsidR="0073287F" w:rsidRPr="00986DAB" w:rsidRDefault="0073287F" w:rsidP="002F56E7">
      <w:pPr>
        <w:spacing w:before="100" w:beforeAutospacing="1" w:after="100" w:afterAutospacing="1" w:line="240" w:lineRule="auto"/>
        <w:jc w:val="both"/>
        <w:rPr>
          <w:rFonts w:ascii="Times New Roman" w:hAnsi="Times New Roman" w:cs="Times New Roman"/>
          <w:color w:val="002060"/>
          <w:sz w:val="24"/>
          <w:szCs w:val="24"/>
          <w:lang w:val="en-GB"/>
        </w:rPr>
      </w:pPr>
    </w:p>
    <w:p w14:paraId="5FE577F9" w14:textId="30909DC0" w:rsidR="00991C8D" w:rsidRPr="00986DAB" w:rsidRDefault="00991C8D" w:rsidP="002F56E7">
      <w:pPr>
        <w:spacing w:before="100" w:beforeAutospacing="1" w:after="100" w:afterAutospacing="1" w:line="240" w:lineRule="auto"/>
        <w:jc w:val="both"/>
        <w:rPr>
          <w:rFonts w:ascii="Times New Roman" w:hAnsi="Times New Roman" w:cs="Times New Roman"/>
          <w:color w:val="002060"/>
          <w:sz w:val="24"/>
          <w:szCs w:val="24"/>
          <w:lang w:val="en-GB"/>
        </w:rPr>
      </w:pPr>
    </w:p>
    <w:p w14:paraId="37009DBA" w14:textId="77777777" w:rsidR="00991C8D" w:rsidRPr="00986DAB" w:rsidRDefault="00991C8D" w:rsidP="002F56E7">
      <w:pPr>
        <w:spacing w:before="100" w:beforeAutospacing="1" w:after="100" w:afterAutospacing="1" w:line="240" w:lineRule="auto"/>
        <w:jc w:val="both"/>
        <w:rPr>
          <w:rFonts w:ascii="Times New Roman" w:hAnsi="Times New Roman" w:cs="Times New Roman"/>
          <w:color w:val="002060"/>
          <w:sz w:val="24"/>
          <w:szCs w:val="24"/>
          <w:lang w:val="en-GB"/>
        </w:rPr>
      </w:pPr>
    </w:p>
    <w:p w14:paraId="3D7C5C0D" w14:textId="77777777" w:rsidR="0073287F" w:rsidRPr="00986DAB" w:rsidRDefault="0073287F" w:rsidP="002F56E7">
      <w:pPr>
        <w:spacing w:before="100" w:beforeAutospacing="1" w:after="100" w:afterAutospacing="1" w:line="240" w:lineRule="auto"/>
        <w:jc w:val="both"/>
        <w:rPr>
          <w:rFonts w:ascii="Times New Roman" w:hAnsi="Times New Roman" w:cs="Times New Roman"/>
          <w:color w:val="002060"/>
          <w:sz w:val="24"/>
          <w:szCs w:val="24"/>
          <w:lang w:val="en-GB"/>
        </w:rPr>
      </w:pPr>
    </w:p>
    <w:p w14:paraId="6E8C90FF" w14:textId="77777777" w:rsidR="001D74D7" w:rsidRDefault="001D74D7" w:rsidP="00326B6D">
      <w:pPr>
        <w:rPr>
          <w:lang w:val="en-US"/>
        </w:rPr>
      </w:pPr>
    </w:p>
    <w:p w14:paraId="5D4F12FD" w14:textId="78B262FE" w:rsidR="0073287F" w:rsidRPr="001D74D7" w:rsidRDefault="001D74D7" w:rsidP="00326B6D">
      <w:pPr>
        <w:rPr>
          <w:rFonts w:ascii="Times New Roman" w:hAnsi="Times New Roman" w:cs="Times New Roman"/>
          <w:b/>
          <w:color w:val="002060"/>
          <w:sz w:val="24"/>
          <w:szCs w:val="24"/>
          <w:lang w:val="en-US"/>
        </w:rPr>
      </w:pPr>
      <w:r w:rsidRPr="001D74D7">
        <w:rPr>
          <w:rFonts w:ascii="Times New Roman" w:hAnsi="Times New Roman" w:cs="Times New Roman"/>
          <w:b/>
          <w:color w:val="002060"/>
          <w:sz w:val="24"/>
          <w:szCs w:val="24"/>
          <w:lang w:val="en-US"/>
        </w:rPr>
        <w:lastRenderedPageBreak/>
        <w:t>CONTENT</w:t>
      </w:r>
    </w:p>
    <w:p w14:paraId="7E632461" w14:textId="586E4D29" w:rsidR="00326B6D" w:rsidRPr="001D74D7" w:rsidRDefault="0073287F">
      <w:pPr>
        <w:pStyle w:val="TOC1"/>
        <w:tabs>
          <w:tab w:val="right" w:leader="dot" w:pos="9628"/>
        </w:tabs>
        <w:rPr>
          <w:rFonts w:ascii="Times New Roman" w:eastAsiaTheme="minorEastAsia" w:hAnsi="Times New Roman" w:cs="Times New Roman"/>
          <w:noProof/>
          <w:sz w:val="24"/>
          <w:szCs w:val="24"/>
          <w:lang w:eastAsia="uk-UA"/>
        </w:rPr>
      </w:pPr>
      <w:r w:rsidRPr="001D74D7">
        <w:rPr>
          <w:rFonts w:ascii="Times New Roman" w:hAnsi="Times New Roman" w:cs="Times New Roman"/>
          <w:bCs/>
          <w:sz w:val="24"/>
          <w:szCs w:val="24"/>
          <w:lang w:val="en-GB"/>
        </w:rPr>
        <w:fldChar w:fldCharType="begin"/>
      </w:r>
      <w:r w:rsidRPr="001D74D7">
        <w:rPr>
          <w:rFonts w:ascii="Times New Roman" w:hAnsi="Times New Roman" w:cs="Times New Roman"/>
          <w:bCs/>
          <w:sz w:val="24"/>
          <w:szCs w:val="24"/>
          <w:lang w:val="en-GB"/>
        </w:rPr>
        <w:instrText xml:space="preserve"> TOC \o "1-3" \h \z \u </w:instrText>
      </w:r>
      <w:r w:rsidRPr="001D74D7">
        <w:rPr>
          <w:rFonts w:ascii="Times New Roman" w:hAnsi="Times New Roman" w:cs="Times New Roman"/>
          <w:bCs/>
          <w:sz w:val="24"/>
          <w:szCs w:val="24"/>
          <w:lang w:val="en-GB"/>
        </w:rPr>
        <w:fldChar w:fldCharType="separate"/>
      </w:r>
      <w:hyperlink w:anchor="_Toc216278026" w:history="1">
        <w:r w:rsidR="00326B6D" w:rsidRPr="001D74D7">
          <w:rPr>
            <w:rStyle w:val="Hyperlink"/>
            <w:rFonts w:ascii="Times New Roman" w:hAnsi="Times New Roman" w:cs="Times New Roman"/>
            <w:noProof/>
            <w:color w:val="002060"/>
            <w:sz w:val="24"/>
            <w:szCs w:val="24"/>
            <w:lang w:val="en-GB"/>
          </w:rPr>
          <w:t>1. GENERAL PROVISIONS</w:t>
        </w:r>
        <w:r w:rsidR="00326B6D" w:rsidRPr="001D74D7">
          <w:rPr>
            <w:rFonts w:ascii="Times New Roman" w:hAnsi="Times New Roman" w:cs="Times New Roman"/>
            <w:noProof/>
            <w:webHidden/>
            <w:sz w:val="24"/>
            <w:szCs w:val="24"/>
          </w:rPr>
          <w:tab/>
        </w:r>
        <w:r w:rsidR="00326B6D" w:rsidRPr="001D74D7">
          <w:rPr>
            <w:rFonts w:ascii="Times New Roman" w:hAnsi="Times New Roman" w:cs="Times New Roman"/>
            <w:noProof/>
            <w:webHidden/>
            <w:sz w:val="24"/>
            <w:szCs w:val="24"/>
          </w:rPr>
          <w:fldChar w:fldCharType="begin"/>
        </w:r>
        <w:r w:rsidR="00326B6D" w:rsidRPr="001D74D7">
          <w:rPr>
            <w:rFonts w:ascii="Times New Roman" w:hAnsi="Times New Roman" w:cs="Times New Roman"/>
            <w:noProof/>
            <w:webHidden/>
            <w:sz w:val="24"/>
            <w:szCs w:val="24"/>
          </w:rPr>
          <w:instrText xml:space="preserve"> PAGEREF _Toc216278026 \h </w:instrText>
        </w:r>
        <w:r w:rsidR="00326B6D" w:rsidRPr="001D74D7">
          <w:rPr>
            <w:rFonts w:ascii="Times New Roman" w:hAnsi="Times New Roman" w:cs="Times New Roman"/>
            <w:noProof/>
            <w:webHidden/>
            <w:sz w:val="24"/>
            <w:szCs w:val="24"/>
          </w:rPr>
        </w:r>
        <w:r w:rsidR="00326B6D" w:rsidRPr="001D74D7">
          <w:rPr>
            <w:rFonts w:ascii="Times New Roman" w:hAnsi="Times New Roman" w:cs="Times New Roman"/>
            <w:noProof/>
            <w:webHidden/>
            <w:sz w:val="24"/>
            <w:szCs w:val="24"/>
          </w:rPr>
          <w:fldChar w:fldCharType="separate"/>
        </w:r>
        <w:r w:rsidR="00326B6D" w:rsidRPr="001D74D7">
          <w:rPr>
            <w:rFonts w:ascii="Times New Roman" w:hAnsi="Times New Roman" w:cs="Times New Roman"/>
            <w:noProof/>
            <w:webHidden/>
            <w:sz w:val="24"/>
            <w:szCs w:val="24"/>
          </w:rPr>
          <w:t>3</w:t>
        </w:r>
        <w:r w:rsidR="00326B6D" w:rsidRPr="001D74D7">
          <w:rPr>
            <w:rFonts w:ascii="Times New Roman" w:hAnsi="Times New Roman" w:cs="Times New Roman"/>
            <w:noProof/>
            <w:webHidden/>
            <w:sz w:val="24"/>
            <w:szCs w:val="24"/>
          </w:rPr>
          <w:fldChar w:fldCharType="end"/>
        </w:r>
      </w:hyperlink>
    </w:p>
    <w:p w14:paraId="3C778B62" w14:textId="13E703CF" w:rsidR="00326B6D" w:rsidRPr="001D74D7" w:rsidRDefault="00B6051C">
      <w:pPr>
        <w:pStyle w:val="TOC1"/>
        <w:tabs>
          <w:tab w:val="right" w:leader="dot" w:pos="9628"/>
        </w:tabs>
        <w:rPr>
          <w:rFonts w:ascii="Times New Roman" w:eastAsiaTheme="minorEastAsia" w:hAnsi="Times New Roman" w:cs="Times New Roman"/>
          <w:noProof/>
          <w:sz w:val="24"/>
          <w:szCs w:val="24"/>
          <w:lang w:eastAsia="uk-UA"/>
        </w:rPr>
      </w:pPr>
      <w:hyperlink w:anchor="_Toc216278027" w:history="1">
        <w:r w:rsidR="00326B6D" w:rsidRPr="001D74D7">
          <w:rPr>
            <w:rStyle w:val="Hyperlink"/>
            <w:rFonts w:ascii="Times New Roman" w:hAnsi="Times New Roman" w:cs="Times New Roman"/>
            <w:noProof/>
            <w:color w:val="002060"/>
            <w:sz w:val="24"/>
            <w:szCs w:val="24"/>
            <w:lang w:val="en-GB"/>
          </w:rPr>
          <w:t>2. TERMS AND ABBREVIATIONS</w:t>
        </w:r>
        <w:r w:rsidR="00326B6D" w:rsidRPr="001D74D7">
          <w:rPr>
            <w:rFonts w:ascii="Times New Roman" w:hAnsi="Times New Roman" w:cs="Times New Roman"/>
            <w:noProof/>
            <w:webHidden/>
            <w:sz w:val="24"/>
            <w:szCs w:val="24"/>
          </w:rPr>
          <w:tab/>
        </w:r>
        <w:r w:rsidR="00326B6D" w:rsidRPr="001D74D7">
          <w:rPr>
            <w:rFonts w:ascii="Times New Roman" w:hAnsi="Times New Roman" w:cs="Times New Roman"/>
            <w:noProof/>
            <w:webHidden/>
            <w:sz w:val="24"/>
            <w:szCs w:val="24"/>
          </w:rPr>
          <w:fldChar w:fldCharType="begin"/>
        </w:r>
        <w:r w:rsidR="00326B6D" w:rsidRPr="001D74D7">
          <w:rPr>
            <w:rFonts w:ascii="Times New Roman" w:hAnsi="Times New Roman" w:cs="Times New Roman"/>
            <w:noProof/>
            <w:webHidden/>
            <w:sz w:val="24"/>
            <w:szCs w:val="24"/>
          </w:rPr>
          <w:instrText xml:space="preserve"> PAGEREF _Toc216278027 \h </w:instrText>
        </w:r>
        <w:r w:rsidR="00326B6D" w:rsidRPr="001D74D7">
          <w:rPr>
            <w:rFonts w:ascii="Times New Roman" w:hAnsi="Times New Roman" w:cs="Times New Roman"/>
            <w:noProof/>
            <w:webHidden/>
            <w:sz w:val="24"/>
            <w:szCs w:val="24"/>
          </w:rPr>
        </w:r>
        <w:r w:rsidR="00326B6D" w:rsidRPr="001D74D7">
          <w:rPr>
            <w:rFonts w:ascii="Times New Roman" w:hAnsi="Times New Roman" w:cs="Times New Roman"/>
            <w:noProof/>
            <w:webHidden/>
            <w:sz w:val="24"/>
            <w:szCs w:val="24"/>
          </w:rPr>
          <w:fldChar w:fldCharType="separate"/>
        </w:r>
        <w:r w:rsidR="00326B6D" w:rsidRPr="001D74D7">
          <w:rPr>
            <w:rFonts w:ascii="Times New Roman" w:hAnsi="Times New Roman" w:cs="Times New Roman"/>
            <w:noProof/>
            <w:webHidden/>
            <w:sz w:val="24"/>
            <w:szCs w:val="24"/>
          </w:rPr>
          <w:t>5</w:t>
        </w:r>
        <w:r w:rsidR="00326B6D" w:rsidRPr="001D74D7">
          <w:rPr>
            <w:rFonts w:ascii="Times New Roman" w:hAnsi="Times New Roman" w:cs="Times New Roman"/>
            <w:noProof/>
            <w:webHidden/>
            <w:sz w:val="24"/>
            <w:szCs w:val="24"/>
          </w:rPr>
          <w:fldChar w:fldCharType="end"/>
        </w:r>
      </w:hyperlink>
    </w:p>
    <w:p w14:paraId="512B090A" w14:textId="4EFDABC4" w:rsidR="00326B6D" w:rsidRPr="001D74D7" w:rsidRDefault="00B6051C">
      <w:pPr>
        <w:pStyle w:val="TOC1"/>
        <w:tabs>
          <w:tab w:val="right" w:leader="dot" w:pos="9628"/>
        </w:tabs>
        <w:rPr>
          <w:rFonts w:ascii="Times New Roman" w:eastAsiaTheme="minorEastAsia" w:hAnsi="Times New Roman" w:cs="Times New Roman"/>
          <w:noProof/>
          <w:sz w:val="24"/>
          <w:szCs w:val="24"/>
          <w:lang w:eastAsia="uk-UA"/>
        </w:rPr>
      </w:pPr>
      <w:hyperlink w:anchor="_Toc216278028" w:history="1">
        <w:r w:rsidR="00326B6D" w:rsidRPr="001D74D7">
          <w:rPr>
            <w:rStyle w:val="Hyperlink"/>
            <w:rFonts w:ascii="Times New Roman" w:hAnsi="Times New Roman" w:cs="Times New Roman"/>
            <w:noProof/>
            <w:color w:val="002060"/>
            <w:sz w:val="24"/>
            <w:szCs w:val="24"/>
            <w:lang w:val="en-GB"/>
          </w:rPr>
          <w:t>3. ENVIRONMENTAL, SOCIAL AND GOVERNANCE MANAGEMENT SYSTEM</w:t>
        </w:r>
        <w:r w:rsidR="00326B6D" w:rsidRPr="001D74D7">
          <w:rPr>
            <w:rFonts w:ascii="Times New Roman" w:hAnsi="Times New Roman" w:cs="Times New Roman"/>
            <w:noProof/>
            <w:webHidden/>
            <w:sz w:val="24"/>
            <w:szCs w:val="24"/>
          </w:rPr>
          <w:tab/>
        </w:r>
        <w:r w:rsidR="00326B6D" w:rsidRPr="001D74D7">
          <w:rPr>
            <w:rFonts w:ascii="Times New Roman" w:hAnsi="Times New Roman" w:cs="Times New Roman"/>
            <w:noProof/>
            <w:webHidden/>
            <w:sz w:val="24"/>
            <w:szCs w:val="24"/>
          </w:rPr>
          <w:fldChar w:fldCharType="begin"/>
        </w:r>
        <w:r w:rsidR="00326B6D" w:rsidRPr="001D74D7">
          <w:rPr>
            <w:rFonts w:ascii="Times New Roman" w:hAnsi="Times New Roman" w:cs="Times New Roman"/>
            <w:noProof/>
            <w:webHidden/>
            <w:sz w:val="24"/>
            <w:szCs w:val="24"/>
          </w:rPr>
          <w:instrText xml:space="preserve"> PAGEREF _Toc216278028 \h </w:instrText>
        </w:r>
        <w:r w:rsidR="00326B6D" w:rsidRPr="001D74D7">
          <w:rPr>
            <w:rFonts w:ascii="Times New Roman" w:hAnsi="Times New Roman" w:cs="Times New Roman"/>
            <w:noProof/>
            <w:webHidden/>
            <w:sz w:val="24"/>
            <w:szCs w:val="24"/>
          </w:rPr>
        </w:r>
        <w:r w:rsidR="00326B6D" w:rsidRPr="001D74D7">
          <w:rPr>
            <w:rFonts w:ascii="Times New Roman" w:hAnsi="Times New Roman" w:cs="Times New Roman"/>
            <w:noProof/>
            <w:webHidden/>
            <w:sz w:val="24"/>
            <w:szCs w:val="24"/>
          </w:rPr>
          <w:fldChar w:fldCharType="separate"/>
        </w:r>
        <w:r w:rsidR="00326B6D" w:rsidRPr="001D74D7">
          <w:rPr>
            <w:rFonts w:ascii="Times New Roman" w:hAnsi="Times New Roman" w:cs="Times New Roman"/>
            <w:noProof/>
            <w:webHidden/>
            <w:sz w:val="24"/>
            <w:szCs w:val="24"/>
          </w:rPr>
          <w:t>5</w:t>
        </w:r>
        <w:r w:rsidR="00326B6D" w:rsidRPr="001D74D7">
          <w:rPr>
            <w:rFonts w:ascii="Times New Roman" w:hAnsi="Times New Roman" w:cs="Times New Roman"/>
            <w:noProof/>
            <w:webHidden/>
            <w:sz w:val="24"/>
            <w:szCs w:val="24"/>
          </w:rPr>
          <w:fldChar w:fldCharType="end"/>
        </w:r>
      </w:hyperlink>
    </w:p>
    <w:p w14:paraId="7B06A7AF" w14:textId="741B8E42" w:rsidR="00326B6D" w:rsidRPr="001D74D7" w:rsidRDefault="00B6051C">
      <w:pPr>
        <w:pStyle w:val="TOC1"/>
        <w:tabs>
          <w:tab w:val="right" w:leader="dot" w:pos="9628"/>
        </w:tabs>
        <w:rPr>
          <w:rFonts w:ascii="Times New Roman" w:eastAsiaTheme="minorEastAsia" w:hAnsi="Times New Roman" w:cs="Times New Roman"/>
          <w:noProof/>
          <w:sz w:val="24"/>
          <w:szCs w:val="24"/>
          <w:lang w:eastAsia="uk-UA"/>
        </w:rPr>
      </w:pPr>
      <w:hyperlink w:anchor="_Toc216278029" w:history="1">
        <w:r w:rsidR="00326B6D" w:rsidRPr="001D74D7">
          <w:rPr>
            <w:rStyle w:val="Hyperlink"/>
            <w:rFonts w:ascii="Times New Roman" w:hAnsi="Times New Roman" w:cs="Times New Roman"/>
            <w:noProof/>
            <w:color w:val="002060"/>
            <w:sz w:val="24"/>
            <w:szCs w:val="24"/>
            <w:lang w:val="en-GB"/>
          </w:rPr>
          <w:t>4. ROLES, POWERS AND RESPONSIBILITIES</w:t>
        </w:r>
        <w:r w:rsidR="00326B6D" w:rsidRPr="001D74D7">
          <w:rPr>
            <w:rFonts w:ascii="Times New Roman" w:hAnsi="Times New Roman" w:cs="Times New Roman"/>
            <w:noProof/>
            <w:webHidden/>
            <w:sz w:val="24"/>
            <w:szCs w:val="24"/>
          </w:rPr>
          <w:tab/>
        </w:r>
        <w:r w:rsidR="00326B6D" w:rsidRPr="001D74D7">
          <w:rPr>
            <w:rFonts w:ascii="Times New Roman" w:hAnsi="Times New Roman" w:cs="Times New Roman"/>
            <w:noProof/>
            <w:webHidden/>
            <w:sz w:val="24"/>
            <w:szCs w:val="24"/>
          </w:rPr>
          <w:fldChar w:fldCharType="begin"/>
        </w:r>
        <w:r w:rsidR="00326B6D" w:rsidRPr="001D74D7">
          <w:rPr>
            <w:rFonts w:ascii="Times New Roman" w:hAnsi="Times New Roman" w:cs="Times New Roman"/>
            <w:noProof/>
            <w:webHidden/>
            <w:sz w:val="24"/>
            <w:szCs w:val="24"/>
          </w:rPr>
          <w:instrText xml:space="preserve"> PAGEREF _Toc216278029 \h </w:instrText>
        </w:r>
        <w:r w:rsidR="00326B6D" w:rsidRPr="001D74D7">
          <w:rPr>
            <w:rFonts w:ascii="Times New Roman" w:hAnsi="Times New Roman" w:cs="Times New Roman"/>
            <w:noProof/>
            <w:webHidden/>
            <w:sz w:val="24"/>
            <w:szCs w:val="24"/>
          </w:rPr>
        </w:r>
        <w:r w:rsidR="00326B6D" w:rsidRPr="001D74D7">
          <w:rPr>
            <w:rFonts w:ascii="Times New Roman" w:hAnsi="Times New Roman" w:cs="Times New Roman"/>
            <w:noProof/>
            <w:webHidden/>
            <w:sz w:val="24"/>
            <w:szCs w:val="24"/>
          </w:rPr>
          <w:fldChar w:fldCharType="separate"/>
        </w:r>
        <w:r w:rsidR="00326B6D" w:rsidRPr="001D74D7">
          <w:rPr>
            <w:rFonts w:ascii="Times New Roman" w:hAnsi="Times New Roman" w:cs="Times New Roman"/>
            <w:noProof/>
            <w:webHidden/>
            <w:sz w:val="24"/>
            <w:szCs w:val="24"/>
          </w:rPr>
          <w:t>12</w:t>
        </w:r>
        <w:r w:rsidR="00326B6D" w:rsidRPr="001D74D7">
          <w:rPr>
            <w:rFonts w:ascii="Times New Roman" w:hAnsi="Times New Roman" w:cs="Times New Roman"/>
            <w:noProof/>
            <w:webHidden/>
            <w:sz w:val="24"/>
            <w:szCs w:val="24"/>
          </w:rPr>
          <w:fldChar w:fldCharType="end"/>
        </w:r>
      </w:hyperlink>
    </w:p>
    <w:p w14:paraId="495BE9B9" w14:textId="3BA65C9D" w:rsidR="00326B6D" w:rsidRPr="001D74D7" w:rsidRDefault="00B6051C">
      <w:pPr>
        <w:pStyle w:val="TOC1"/>
        <w:tabs>
          <w:tab w:val="right" w:leader="dot" w:pos="9628"/>
        </w:tabs>
        <w:rPr>
          <w:rFonts w:ascii="Times New Roman" w:eastAsiaTheme="minorEastAsia" w:hAnsi="Times New Roman" w:cs="Times New Roman"/>
          <w:noProof/>
          <w:sz w:val="24"/>
          <w:szCs w:val="24"/>
          <w:lang w:eastAsia="uk-UA"/>
        </w:rPr>
      </w:pPr>
      <w:hyperlink w:anchor="_Toc216278030" w:history="1">
        <w:r w:rsidR="00326B6D" w:rsidRPr="001D74D7">
          <w:rPr>
            <w:rStyle w:val="Hyperlink"/>
            <w:rFonts w:ascii="Times New Roman" w:hAnsi="Times New Roman" w:cs="Times New Roman"/>
            <w:noProof/>
            <w:color w:val="002060"/>
            <w:sz w:val="24"/>
            <w:szCs w:val="24"/>
            <w:lang w:val="en-GB"/>
          </w:rPr>
          <w:t>5. INTERNAL CONTROL SYSTEM</w:t>
        </w:r>
        <w:r w:rsidR="00326B6D" w:rsidRPr="001D74D7">
          <w:rPr>
            <w:rFonts w:ascii="Times New Roman" w:hAnsi="Times New Roman" w:cs="Times New Roman"/>
            <w:noProof/>
            <w:webHidden/>
            <w:sz w:val="24"/>
            <w:szCs w:val="24"/>
          </w:rPr>
          <w:tab/>
        </w:r>
        <w:r w:rsidR="00326B6D" w:rsidRPr="001D74D7">
          <w:rPr>
            <w:rFonts w:ascii="Times New Roman" w:hAnsi="Times New Roman" w:cs="Times New Roman"/>
            <w:noProof/>
            <w:webHidden/>
            <w:sz w:val="24"/>
            <w:szCs w:val="24"/>
          </w:rPr>
          <w:fldChar w:fldCharType="begin"/>
        </w:r>
        <w:r w:rsidR="00326B6D" w:rsidRPr="001D74D7">
          <w:rPr>
            <w:rFonts w:ascii="Times New Roman" w:hAnsi="Times New Roman" w:cs="Times New Roman"/>
            <w:noProof/>
            <w:webHidden/>
            <w:sz w:val="24"/>
            <w:szCs w:val="24"/>
          </w:rPr>
          <w:instrText xml:space="preserve"> PAGEREF _Toc216278030 \h </w:instrText>
        </w:r>
        <w:r w:rsidR="00326B6D" w:rsidRPr="001D74D7">
          <w:rPr>
            <w:rFonts w:ascii="Times New Roman" w:hAnsi="Times New Roman" w:cs="Times New Roman"/>
            <w:noProof/>
            <w:webHidden/>
            <w:sz w:val="24"/>
            <w:szCs w:val="24"/>
          </w:rPr>
        </w:r>
        <w:r w:rsidR="00326B6D" w:rsidRPr="001D74D7">
          <w:rPr>
            <w:rFonts w:ascii="Times New Roman" w:hAnsi="Times New Roman" w:cs="Times New Roman"/>
            <w:noProof/>
            <w:webHidden/>
            <w:sz w:val="24"/>
            <w:szCs w:val="24"/>
          </w:rPr>
          <w:fldChar w:fldCharType="separate"/>
        </w:r>
        <w:r w:rsidR="00326B6D" w:rsidRPr="001D74D7">
          <w:rPr>
            <w:rFonts w:ascii="Times New Roman" w:hAnsi="Times New Roman" w:cs="Times New Roman"/>
            <w:noProof/>
            <w:webHidden/>
            <w:sz w:val="24"/>
            <w:szCs w:val="24"/>
          </w:rPr>
          <w:t>13</w:t>
        </w:r>
        <w:r w:rsidR="00326B6D" w:rsidRPr="001D74D7">
          <w:rPr>
            <w:rFonts w:ascii="Times New Roman" w:hAnsi="Times New Roman" w:cs="Times New Roman"/>
            <w:noProof/>
            <w:webHidden/>
            <w:sz w:val="24"/>
            <w:szCs w:val="24"/>
          </w:rPr>
          <w:fldChar w:fldCharType="end"/>
        </w:r>
      </w:hyperlink>
    </w:p>
    <w:p w14:paraId="66222F81" w14:textId="664CD651" w:rsidR="00326B6D" w:rsidRPr="001D74D7" w:rsidRDefault="00B6051C">
      <w:pPr>
        <w:pStyle w:val="TOC1"/>
        <w:tabs>
          <w:tab w:val="right" w:leader="dot" w:pos="9628"/>
        </w:tabs>
        <w:rPr>
          <w:rFonts w:ascii="Times New Roman" w:eastAsiaTheme="minorEastAsia" w:hAnsi="Times New Roman" w:cs="Times New Roman"/>
          <w:noProof/>
          <w:sz w:val="24"/>
          <w:szCs w:val="24"/>
          <w:lang w:eastAsia="uk-UA"/>
        </w:rPr>
      </w:pPr>
      <w:hyperlink w:anchor="_Toc216278031" w:history="1">
        <w:r w:rsidR="00326B6D" w:rsidRPr="001D74D7">
          <w:rPr>
            <w:rStyle w:val="Hyperlink"/>
            <w:rFonts w:ascii="Times New Roman" w:hAnsi="Times New Roman" w:cs="Times New Roman"/>
            <w:noProof/>
            <w:color w:val="002060"/>
            <w:sz w:val="24"/>
            <w:szCs w:val="24"/>
            <w:lang w:val="en-GB"/>
          </w:rPr>
          <w:t>6. FINAL PROVISIONS</w:t>
        </w:r>
        <w:r w:rsidR="00326B6D" w:rsidRPr="001D74D7">
          <w:rPr>
            <w:rFonts w:ascii="Times New Roman" w:hAnsi="Times New Roman" w:cs="Times New Roman"/>
            <w:noProof/>
            <w:webHidden/>
            <w:sz w:val="24"/>
            <w:szCs w:val="24"/>
          </w:rPr>
          <w:tab/>
        </w:r>
        <w:r w:rsidR="00326B6D" w:rsidRPr="001D74D7">
          <w:rPr>
            <w:rFonts w:ascii="Times New Roman" w:hAnsi="Times New Roman" w:cs="Times New Roman"/>
            <w:noProof/>
            <w:webHidden/>
            <w:sz w:val="24"/>
            <w:szCs w:val="24"/>
          </w:rPr>
          <w:fldChar w:fldCharType="begin"/>
        </w:r>
        <w:r w:rsidR="00326B6D" w:rsidRPr="001D74D7">
          <w:rPr>
            <w:rFonts w:ascii="Times New Roman" w:hAnsi="Times New Roman" w:cs="Times New Roman"/>
            <w:noProof/>
            <w:webHidden/>
            <w:sz w:val="24"/>
            <w:szCs w:val="24"/>
          </w:rPr>
          <w:instrText xml:space="preserve"> PAGEREF _Toc216278031 \h </w:instrText>
        </w:r>
        <w:r w:rsidR="00326B6D" w:rsidRPr="001D74D7">
          <w:rPr>
            <w:rFonts w:ascii="Times New Roman" w:hAnsi="Times New Roman" w:cs="Times New Roman"/>
            <w:noProof/>
            <w:webHidden/>
            <w:sz w:val="24"/>
            <w:szCs w:val="24"/>
          </w:rPr>
        </w:r>
        <w:r w:rsidR="00326B6D" w:rsidRPr="001D74D7">
          <w:rPr>
            <w:rFonts w:ascii="Times New Roman" w:hAnsi="Times New Roman" w:cs="Times New Roman"/>
            <w:noProof/>
            <w:webHidden/>
            <w:sz w:val="24"/>
            <w:szCs w:val="24"/>
          </w:rPr>
          <w:fldChar w:fldCharType="separate"/>
        </w:r>
        <w:r w:rsidR="00326B6D" w:rsidRPr="001D74D7">
          <w:rPr>
            <w:rFonts w:ascii="Times New Roman" w:hAnsi="Times New Roman" w:cs="Times New Roman"/>
            <w:noProof/>
            <w:webHidden/>
            <w:sz w:val="24"/>
            <w:szCs w:val="24"/>
          </w:rPr>
          <w:t>13</w:t>
        </w:r>
        <w:r w:rsidR="00326B6D" w:rsidRPr="001D74D7">
          <w:rPr>
            <w:rFonts w:ascii="Times New Roman" w:hAnsi="Times New Roman" w:cs="Times New Roman"/>
            <w:noProof/>
            <w:webHidden/>
            <w:sz w:val="24"/>
            <w:szCs w:val="24"/>
          </w:rPr>
          <w:fldChar w:fldCharType="end"/>
        </w:r>
      </w:hyperlink>
    </w:p>
    <w:p w14:paraId="488544C6" w14:textId="6239A2A3" w:rsidR="00326B6D" w:rsidRPr="001D74D7" w:rsidRDefault="00B6051C">
      <w:pPr>
        <w:pStyle w:val="TOC1"/>
        <w:tabs>
          <w:tab w:val="right" w:leader="dot" w:pos="9628"/>
        </w:tabs>
        <w:rPr>
          <w:rFonts w:ascii="Times New Roman" w:eastAsiaTheme="minorEastAsia" w:hAnsi="Times New Roman" w:cs="Times New Roman"/>
          <w:noProof/>
          <w:sz w:val="24"/>
          <w:szCs w:val="24"/>
          <w:lang w:eastAsia="uk-UA"/>
        </w:rPr>
      </w:pPr>
      <w:hyperlink w:anchor="_Toc216278032" w:history="1">
        <w:r w:rsidR="00326B6D" w:rsidRPr="001D74D7">
          <w:rPr>
            <w:rStyle w:val="Hyperlink"/>
            <w:rFonts w:ascii="Times New Roman" w:hAnsi="Times New Roman" w:cs="Times New Roman"/>
            <w:noProof/>
            <w:color w:val="002060"/>
            <w:sz w:val="24"/>
            <w:szCs w:val="24"/>
            <w:lang w:val="en-GB"/>
          </w:rPr>
          <w:t>7. LIST OF RELATED DOCUMENTS</w:t>
        </w:r>
        <w:r w:rsidR="00326B6D" w:rsidRPr="001D74D7">
          <w:rPr>
            <w:rFonts w:ascii="Times New Roman" w:hAnsi="Times New Roman" w:cs="Times New Roman"/>
            <w:noProof/>
            <w:webHidden/>
            <w:sz w:val="24"/>
            <w:szCs w:val="24"/>
          </w:rPr>
          <w:tab/>
        </w:r>
        <w:r w:rsidR="00326B6D" w:rsidRPr="001D74D7">
          <w:rPr>
            <w:rFonts w:ascii="Times New Roman" w:hAnsi="Times New Roman" w:cs="Times New Roman"/>
            <w:noProof/>
            <w:webHidden/>
            <w:sz w:val="24"/>
            <w:szCs w:val="24"/>
          </w:rPr>
          <w:fldChar w:fldCharType="begin"/>
        </w:r>
        <w:r w:rsidR="00326B6D" w:rsidRPr="001D74D7">
          <w:rPr>
            <w:rFonts w:ascii="Times New Roman" w:hAnsi="Times New Roman" w:cs="Times New Roman"/>
            <w:noProof/>
            <w:webHidden/>
            <w:sz w:val="24"/>
            <w:szCs w:val="24"/>
          </w:rPr>
          <w:instrText xml:space="preserve"> PAGEREF _Toc216278032 \h </w:instrText>
        </w:r>
        <w:r w:rsidR="00326B6D" w:rsidRPr="001D74D7">
          <w:rPr>
            <w:rFonts w:ascii="Times New Roman" w:hAnsi="Times New Roman" w:cs="Times New Roman"/>
            <w:noProof/>
            <w:webHidden/>
            <w:sz w:val="24"/>
            <w:szCs w:val="24"/>
          </w:rPr>
        </w:r>
        <w:r w:rsidR="00326B6D" w:rsidRPr="001D74D7">
          <w:rPr>
            <w:rFonts w:ascii="Times New Roman" w:hAnsi="Times New Roman" w:cs="Times New Roman"/>
            <w:noProof/>
            <w:webHidden/>
            <w:sz w:val="24"/>
            <w:szCs w:val="24"/>
          </w:rPr>
          <w:fldChar w:fldCharType="separate"/>
        </w:r>
        <w:r w:rsidR="00326B6D" w:rsidRPr="001D74D7">
          <w:rPr>
            <w:rFonts w:ascii="Times New Roman" w:hAnsi="Times New Roman" w:cs="Times New Roman"/>
            <w:noProof/>
            <w:webHidden/>
            <w:sz w:val="24"/>
            <w:szCs w:val="24"/>
          </w:rPr>
          <w:t>14</w:t>
        </w:r>
        <w:r w:rsidR="00326B6D" w:rsidRPr="001D74D7">
          <w:rPr>
            <w:rFonts w:ascii="Times New Roman" w:hAnsi="Times New Roman" w:cs="Times New Roman"/>
            <w:noProof/>
            <w:webHidden/>
            <w:sz w:val="24"/>
            <w:szCs w:val="24"/>
          </w:rPr>
          <w:fldChar w:fldCharType="end"/>
        </w:r>
      </w:hyperlink>
    </w:p>
    <w:p w14:paraId="3BAC42C3" w14:textId="513F2F6B" w:rsidR="00326B6D" w:rsidRPr="001D74D7" w:rsidRDefault="00B6051C">
      <w:pPr>
        <w:pStyle w:val="TOC1"/>
        <w:tabs>
          <w:tab w:val="right" w:leader="dot" w:pos="9628"/>
        </w:tabs>
        <w:rPr>
          <w:rFonts w:ascii="Times New Roman" w:eastAsiaTheme="minorEastAsia" w:hAnsi="Times New Roman" w:cs="Times New Roman"/>
          <w:noProof/>
          <w:sz w:val="24"/>
          <w:szCs w:val="24"/>
          <w:lang w:eastAsia="uk-UA"/>
        </w:rPr>
      </w:pPr>
      <w:hyperlink w:anchor="_Toc216278033" w:history="1">
        <w:r w:rsidR="00326B6D" w:rsidRPr="001D74D7">
          <w:rPr>
            <w:rStyle w:val="Hyperlink"/>
            <w:rFonts w:ascii="Times New Roman" w:hAnsi="Times New Roman" w:cs="Times New Roman"/>
            <w:noProof/>
            <w:color w:val="002060"/>
            <w:sz w:val="24"/>
            <w:szCs w:val="24"/>
            <w:lang w:val="en-GB"/>
          </w:rPr>
          <w:t>8. HISTORY OF CHANGES</w:t>
        </w:r>
        <w:r w:rsidR="00326B6D" w:rsidRPr="001D74D7">
          <w:rPr>
            <w:rFonts w:ascii="Times New Roman" w:hAnsi="Times New Roman" w:cs="Times New Roman"/>
            <w:noProof/>
            <w:webHidden/>
            <w:sz w:val="24"/>
            <w:szCs w:val="24"/>
          </w:rPr>
          <w:tab/>
        </w:r>
        <w:r w:rsidR="00326B6D" w:rsidRPr="001D74D7">
          <w:rPr>
            <w:rFonts w:ascii="Times New Roman" w:hAnsi="Times New Roman" w:cs="Times New Roman"/>
            <w:noProof/>
            <w:webHidden/>
            <w:sz w:val="24"/>
            <w:szCs w:val="24"/>
          </w:rPr>
          <w:fldChar w:fldCharType="begin"/>
        </w:r>
        <w:r w:rsidR="00326B6D" w:rsidRPr="001D74D7">
          <w:rPr>
            <w:rFonts w:ascii="Times New Roman" w:hAnsi="Times New Roman" w:cs="Times New Roman"/>
            <w:noProof/>
            <w:webHidden/>
            <w:sz w:val="24"/>
            <w:szCs w:val="24"/>
          </w:rPr>
          <w:instrText xml:space="preserve"> PAGEREF _Toc216278033 \h </w:instrText>
        </w:r>
        <w:r w:rsidR="00326B6D" w:rsidRPr="001D74D7">
          <w:rPr>
            <w:rFonts w:ascii="Times New Roman" w:hAnsi="Times New Roman" w:cs="Times New Roman"/>
            <w:noProof/>
            <w:webHidden/>
            <w:sz w:val="24"/>
            <w:szCs w:val="24"/>
          </w:rPr>
        </w:r>
        <w:r w:rsidR="00326B6D" w:rsidRPr="001D74D7">
          <w:rPr>
            <w:rFonts w:ascii="Times New Roman" w:hAnsi="Times New Roman" w:cs="Times New Roman"/>
            <w:noProof/>
            <w:webHidden/>
            <w:sz w:val="24"/>
            <w:szCs w:val="24"/>
          </w:rPr>
          <w:fldChar w:fldCharType="separate"/>
        </w:r>
        <w:r w:rsidR="00326B6D" w:rsidRPr="001D74D7">
          <w:rPr>
            <w:rFonts w:ascii="Times New Roman" w:hAnsi="Times New Roman" w:cs="Times New Roman"/>
            <w:noProof/>
            <w:webHidden/>
            <w:sz w:val="24"/>
            <w:szCs w:val="24"/>
          </w:rPr>
          <w:t>14</w:t>
        </w:r>
        <w:r w:rsidR="00326B6D" w:rsidRPr="001D74D7">
          <w:rPr>
            <w:rFonts w:ascii="Times New Roman" w:hAnsi="Times New Roman" w:cs="Times New Roman"/>
            <w:noProof/>
            <w:webHidden/>
            <w:sz w:val="24"/>
            <w:szCs w:val="24"/>
          </w:rPr>
          <w:fldChar w:fldCharType="end"/>
        </w:r>
      </w:hyperlink>
    </w:p>
    <w:p w14:paraId="5A89FCB8" w14:textId="61F753F5" w:rsidR="00326B6D" w:rsidRPr="001D74D7" w:rsidRDefault="00B6051C">
      <w:pPr>
        <w:pStyle w:val="TOC1"/>
        <w:tabs>
          <w:tab w:val="right" w:leader="dot" w:pos="9628"/>
        </w:tabs>
        <w:rPr>
          <w:rFonts w:ascii="Times New Roman" w:eastAsiaTheme="minorEastAsia" w:hAnsi="Times New Roman" w:cs="Times New Roman"/>
          <w:noProof/>
          <w:sz w:val="24"/>
          <w:szCs w:val="24"/>
          <w:lang w:eastAsia="uk-UA"/>
        </w:rPr>
      </w:pPr>
      <w:hyperlink w:anchor="_Toc216278034" w:history="1">
        <w:r w:rsidR="00326B6D" w:rsidRPr="001D74D7">
          <w:rPr>
            <w:rStyle w:val="Hyperlink"/>
            <w:rFonts w:ascii="Times New Roman" w:hAnsi="Times New Roman" w:cs="Times New Roman"/>
            <w:noProof/>
            <w:color w:val="002060"/>
            <w:sz w:val="24"/>
            <w:szCs w:val="24"/>
            <w:lang w:val="en-GB"/>
          </w:rPr>
          <w:t>9. META DATA</w:t>
        </w:r>
        <w:r w:rsidR="00326B6D" w:rsidRPr="001D74D7">
          <w:rPr>
            <w:rFonts w:ascii="Times New Roman" w:hAnsi="Times New Roman" w:cs="Times New Roman"/>
            <w:noProof/>
            <w:webHidden/>
            <w:sz w:val="24"/>
            <w:szCs w:val="24"/>
          </w:rPr>
          <w:tab/>
        </w:r>
        <w:r w:rsidR="00326B6D" w:rsidRPr="001D74D7">
          <w:rPr>
            <w:rFonts w:ascii="Times New Roman" w:hAnsi="Times New Roman" w:cs="Times New Roman"/>
            <w:noProof/>
            <w:webHidden/>
            <w:sz w:val="24"/>
            <w:szCs w:val="24"/>
          </w:rPr>
          <w:fldChar w:fldCharType="begin"/>
        </w:r>
        <w:r w:rsidR="00326B6D" w:rsidRPr="001D74D7">
          <w:rPr>
            <w:rFonts w:ascii="Times New Roman" w:hAnsi="Times New Roman" w:cs="Times New Roman"/>
            <w:noProof/>
            <w:webHidden/>
            <w:sz w:val="24"/>
            <w:szCs w:val="24"/>
          </w:rPr>
          <w:instrText xml:space="preserve"> PAGEREF _Toc216278034 \h </w:instrText>
        </w:r>
        <w:r w:rsidR="00326B6D" w:rsidRPr="001D74D7">
          <w:rPr>
            <w:rFonts w:ascii="Times New Roman" w:hAnsi="Times New Roman" w:cs="Times New Roman"/>
            <w:noProof/>
            <w:webHidden/>
            <w:sz w:val="24"/>
            <w:szCs w:val="24"/>
          </w:rPr>
        </w:r>
        <w:r w:rsidR="00326B6D" w:rsidRPr="001D74D7">
          <w:rPr>
            <w:rFonts w:ascii="Times New Roman" w:hAnsi="Times New Roman" w:cs="Times New Roman"/>
            <w:noProof/>
            <w:webHidden/>
            <w:sz w:val="24"/>
            <w:szCs w:val="24"/>
          </w:rPr>
          <w:fldChar w:fldCharType="separate"/>
        </w:r>
        <w:r w:rsidR="00326B6D" w:rsidRPr="001D74D7">
          <w:rPr>
            <w:rFonts w:ascii="Times New Roman" w:hAnsi="Times New Roman" w:cs="Times New Roman"/>
            <w:noProof/>
            <w:webHidden/>
            <w:sz w:val="24"/>
            <w:szCs w:val="24"/>
          </w:rPr>
          <w:t>14</w:t>
        </w:r>
        <w:r w:rsidR="00326B6D" w:rsidRPr="001D74D7">
          <w:rPr>
            <w:rFonts w:ascii="Times New Roman" w:hAnsi="Times New Roman" w:cs="Times New Roman"/>
            <w:noProof/>
            <w:webHidden/>
            <w:sz w:val="24"/>
            <w:szCs w:val="24"/>
          </w:rPr>
          <w:fldChar w:fldCharType="end"/>
        </w:r>
      </w:hyperlink>
    </w:p>
    <w:p w14:paraId="7AB0FC6D" w14:textId="60433A57" w:rsidR="00326B6D" w:rsidRPr="001D74D7" w:rsidRDefault="00B6051C">
      <w:pPr>
        <w:pStyle w:val="TOC1"/>
        <w:tabs>
          <w:tab w:val="right" w:leader="dot" w:pos="9628"/>
        </w:tabs>
        <w:rPr>
          <w:rFonts w:ascii="Times New Roman" w:eastAsiaTheme="minorEastAsia" w:hAnsi="Times New Roman" w:cs="Times New Roman"/>
          <w:noProof/>
          <w:sz w:val="24"/>
          <w:szCs w:val="24"/>
          <w:lang w:eastAsia="uk-UA"/>
        </w:rPr>
      </w:pPr>
      <w:hyperlink w:anchor="_Toc216278035" w:history="1">
        <w:r w:rsidR="00326B6D" w:rsidRPr="001D74D7">
          <w:rPr>
            <w:rStyle w:val="Hyperlink"/>
            <w:rFonts w:ascii="Times New Roman" w:eastAsia="Calibri" w:hAnsi="Times New Roman" w:cs="Times New Roman"/>
            <w:noProof/>
            <w:color w:val="002060"/>
            <w:sz w:val="24"/>
            <w:szCs w:val="24"/>
            <w:lang w:val="en-GB"/>
          </w:rPr>
          <w:t>ANNEXES</w:t>
        </w:r>
        <w:r w:rsidR="00326B6D" w:rsidRPr="001D74D7">
          <w:rPr>
            <w:rFonts w:ascii="Times New Roman" w:hAnsi="Times New Roman" w:cs="Times New Roman"/>
            <w:noProof/>
            <w:webHidden/>
            <w:sz w:val="24"/>
            <w:szCs w:val="24"/>
          </w:rPr>
          <w:tab/>
        </w:r>
        <w:r w:rsidR="00326B6D" w:rsidRPr="001D74D7">
          <w:rPr>
            <w:rFonts w:ascii="Times New Roman" w:hAnsi="Times New Roman" w:cs="Times New Roman"/>
            <w:noProof/>
            <w:webHidden/>
            <w:sz w:val="24"/>
            <w:szCs w:val="24"/>
          </w:rPr>
          <w:fldChar w:fldCharType="begin"/>
        </w:r>
        <w:r w:rsidR="00326B6D" w:rsidRPr="001D74D7">
          <w:rPr>
            <w:rFonts w:ascii="Times New Roman" w:hAnsi="Times New Roman" w:cs="Times New Roman"/>
            <w:noProof/>
            <w:webHidden/>
            <w:sz w:val="24"/>
            <w:szCs w:val="24"/>
          </w:rPr>
          <w:instrText xml:space="preserve"> PAGEREF _Toc216278035 \h </w:instrText>
        </w:r>
        <w:r w:rsidR="00326B6D" w:rsidRPr="001D74D7">
          <w:rPr>
            <w:rFonts w:ascii="Times New Roman" w:hAnsi="Times New Roman" w:cs="Times New Roman"/>
            <w:noProof/>
            <w:webHidden/>
            <w:sz w:val="24"/>
            <w:szCs w:val="24"/>
          </w:rPr>
        </w:r>
        <w:r w:rsidR="00326B6D" w:rsidRPr="001D74D7">
          <w:rPr>
            <w:rFonts w:ascii="Times New Roman" w:hAnsi="Times New Roman" w:cs="Times New Roman"/>
            <w:noProof/>
            <w:webHidden/>
            <w:sz w:val="24"/>
            <w:szCs w:val="24"/>
          </w:rPr>
          <w:fldChar w:fldCharType="separate"/>
        </w:r>
        <w:r w:rsidR="00326B6D" w:rsidRPr="001D74D7">
          <w:rPr>
            <w:rFonts w:ascii="Times New Roman" w:hAnsi="Times New Roman" w:cs="Times New Roman"/>
            <w:noProof/>
            <w:webHidden/>
            <w:sz w:val="24"/>
            <w:szCs w:val="24"/>
          </w:rPr>
          <w:t>15</w:t>
        </w:r>
        <w:r w:rsidR="00326B6D" w:rsidRPr="001D74D7">
          <w:rPr>
            <w:rFonts w:ascii="Times New Roman" w:hAnsi="Times New Roman" w:cs="Times New Roman"/>
            <w:noProof/>
            <w:webHidden/>
            <w:sz w:val="24"/>
            <w:szCs w:val="24"/>
          </w:rPr>
          <w:fldChar w:fldCharType="end"/>
        </w:r>
      </w:hyperlink>
    </w:p>
    <w:p w14:paraId="6AF0125C" w14:textId="037A1ACF" w:rsidR="0073287F" w:rsidRPr="00986DAB" w:rsidRDefault="0073287F" w:rsidP="0073287F">
      <w:pPr>
        <w:spacing w:after="0" w:line="240" w:lineRule="auto"/>
        <w:ind w:firstLine="567"/>
        <w:jc w:val="both"/>
        <w:rPr>
          <w:b/>
          <w:bCs/>
          <w:szCs w:val="20"/>
          <w:lang w:val="en-GB"/>
        </w:rPr>
      </w:pPr>
      <w:r w:rsidRPr="001D74D7">
        <w:rPr>
          <w:rFonts w:ascii="Times New Roman" w:hAnsi="Times New Roman" w:cs="Times New Roman"/>
          <w:b/>
          <w:bCs/>
          <w:color w:val="002060"/>
          <w:sz w:val="24"/>
          <w:szCs w:val="24"/>
          <w:lang w:val="en-GB"/>
        </w:rPr>
        <w:fldChar w:fldCharType="end"/>
      </w:r>
    </w:p>
    <w:p w14:paraId="16FD391A" w14:textId="77777777" w:rsidR="00BF4143" w:rsidRPr="00986DAB" w:rsidRDefault="00BF4143" w:rsidP="0073287F">
      <w:pPr>
        <w:spacing w:after="0" w:line="240" w:lineRule="auto"/>
        <w:ind w:firstLine="567"/>
        <w:jc w:val="both"/>
        <w:rPr>
          <w:b/>
          <w:bCs/>
          <w:szCs w:val="20"/>
          <w:lang w:val="en-GB"/>
        </w:rPr>
      </w:pPr>
    </w:p>
    <w:p w14:paraId="0B8460A8" w14:textId="77777777" w:rsidR="00BF4143" w:rsidRPr="00986DAB" w:rsidRDefault="00BF4143" w:rsidP="0073287F">
      <w:pPr>
        <w:spacing w:after="0" w:line="240" w:lineRule="auto"/>
        <w:ind w:firstLine="567"/>
        <w:jc w:val="both"/>
        <w:rPr>
          <w:b/>
          <w:bCs/>
          <w:szCs w:val="20"/>
          <w:lang w:val="en-GB"/>
        </w:rPr>
      </w:pPr>
    </w:p>
    <w:p w14:paraId="707CC812" w14:textId="77777777" w:rsidR="00BF4143" w:rsidRPr="00986DAB" w:rsidRDefault="00BF4143" w:rsidP="0073287F">
      <w:pPr>
        <w:spacing w:after="0" w:line="240" w:lineRule="auto"/>
        <w:ind w:firstLine="567"/>
        <w:jc w:val="both"/>
        <w:rPr>
          <w:b/>
          <w:bCs/>
          <w:szCs w:val="20"/>
          <w:lang w:val="en-GB"/>
        </w:rPr>
      </w:pPr>
    </w:p>
    <w:p w14:paraId="7E145FD5" w14:textId="77777777" w:rsidR="00BF4143" w:rsidRPr="00986DAB" w:rsidRDefault="00BF4143" w:rsidP="0073287F">
      <w:pPr>
        <w:spacing w:after="0" w:line="240" w:lineRule="auto"/>
        <w:ind w:firstLine="567"/>
        <w:jc w:val="both"/>
        <w:rPr>
          <w:b/>
          <w:bCs/>
          <w:szCs w:val="20"/>
          <w:lang w:val="en-GB"/>
        </w:rPr>
      </w:pPr>
    </w:p>
    <w:p w14:paraId="6EAD73F9" w14:textId="77777777" w:rsidR="00BF4143" w:rsidRPr="00986DAB" w:rsidRDefault="00BF4143" w:rsidP="0073287F">
      <w:pPr>
        <w:spacing w:after="0" w:line="240" w:lineRule="auto"/>
        <w:ind w:firstLine="567"/>
        <w:jc w:val="both"/>
        <w:rPr>
          <w:b/>
          <w:bCs/>
          <w:szCs w:val="20"/>
          <w:lang w:val="en-GB"/>
        </w:rPr>
      </w:pPr>
    </w:p>
    <w:p w14:paraId="0F471291" w14:textId="77777777" w:rsidR="00BF4143" w:rsidRPr="00986DAB" w:rsidRDefault="00BF4143" w:rsidP="0073287F">
      <w:pPr>
        <w:spacing w:after="0" w:line="240" w:lineRule="auto"/>
        <w:ind w:firstLine="567"/>
        <w:jc w:val="both"/>
        <w:rPr>
          <w:b/>
          <w:bCs/>
          <w:szCs w:val="20"/>
          <w:lang w:val="en-GB"/>
        </w:rPr>
      </w:pPr>
    </w:p>
    <w:p w14:paraId="34A008F0" w14:textId="77777777" w:rsidR="00BF4143" w:rsidRPr="00986DAB" w:rsidRDefault="00BF4143" w:rsidP="0073287F">
      <w:pPr>
        <w:spacing w:after="0" w:line="240" w:lineRule="auto"/>
        <w:ind w:firstLine="567"/>
        <w:jc w:val="both"/>
        <w:rPr>
          <w:b/>
          <w:bCs/>
          <w:szCs w:val="20"/>
          <w:lang w:val="en-GB"/>
        </w:rPr>
      </w:pPr>
    </w:p>
    <w:p w14:paraId="7A83A4DE" w14:textId="77777777" w:rsidR="00BF4143" w:rsidRPr="00986DAB" w:rsidRDefault="00BF4143" w:rsidP="0073287F">
      <w:pPr>
        <w:spacing w:after="0" w:line="240" w:lineRule="auto"/>
        <w:ind w:firstLine="567"/>
        <w:jc w:val="both"/>
        <w:rPr>
          <w:b/>
          <w:bCs/>
          <w:szCs w:val="20"/>
          <w:lang w:val="en-GB"/>
        </w:rPr>
      </w:pPr>
    </w:p>
    <w:p w14:paraId="2758D601" w14:textId="77777777" w:rsidR="00BF4143" w:rsidRPr="00986DAB" w:rsidRDefault="00BF4143" w:rsidP="0073287F">
      <w:pPr>
        <w:spacing w:after="0" w:line="240" w:lineRule="auto"/>
        <w:ind w:firstLine="567"/>
        <w:jc w:val="both"/>
        <w:rPr>
          <w:b/>
          <w:bCs/>
          <w:szCs w:val="20"/>
          <w:lang w:val="en-GB"/>
        </w:rPr>
      </w:pPr>
    </w:p>
    <w:p w14:paraId="1616B9DC" w14:textId="77777777" w:rsidR="00BF4143" w:rsidRPr="00986DAB" w:rsidRDefault="00BF4143" w:rsidP="0073287F">
      <w:pPr>
        <w:spacing w:after="0" w:line="240" w:lineRule="auto"/>
        <w:ind w:firstLine="567"/>
        <w:jc w:val="both"/>
        <w:rPr>
          <w:b/>
          <w:bCs/>
          <w:szCs w:val="20"/>
          <w:lang w:val="en-GB"/>
        </w:rPr>
      </w:pPr>
    </w:p>
    <w:p w14:paraId="00E4EA11" w14:textId="77777777" w:rsidR="00BF4143" w:rsidRPr="00986DAB" w:rsidRDefault="00BF4143" w:rsidP="0073287F">
      <w:pPr>
        <w:spacing w:after="0" w:line="240" w:lineRule="auto"/>
        <w:ind w:firstLine="567"/>
        <w:jc w:val="both"/>
        <w:rPr>
          <w:b/>
          <w:bCs/>
          <w:szCs w:val="20"/>
          <w:lang w:val="en-GB"/>
        </w:rPr>
      </w:pPr>
    </w:p>
    <w:p w14:paraId="68F44A0B" w14:textId="77777777" w:rsidR="00BF4143" w:rsidRPr="00986DAB" w:rsidRDefault="00BF4143" w:rsidP="0073287F">
      <w:pPr>
        <w:spacing w:after="0" w:line="240" w:lineRule="auto"/>
        <w:ind w:firstLine="567"/>
        <w:jc w:val="both"/>
        <w:rPr>
          <w:b/>
          <w:bCs/>
          <w:szCs w:val="20"/>
          <w:lang w:val="en-GB"/>
        </w:rPr>
      </w:pPr>
    </w:p>
    <w:p w14:paraId="7EC966DA" w14:textId="77777777" w:rsidR="00BF4143" w:rsidRPr="00986DAB" w:rsidRDefault="00BF4143" w:rsidP="0073287F">
      <w:pPr>
        <w:spacing w:after="0" w:line="240" w:lineRule="auto"/>
        <w:ind w:firstLine="567"/>
        <w:jc w:val="both"/>
        <w:rPr>
          <w:b/>
          <w:bCs/>
          <w:szCs w:val="20"/>
          <w:lang w:val="en-GB"/>
        </w:rPr>
      </w:pPr>
    </w:p>
    <w:p w14:paraId="0F7BC337" w14:textId="77777777" w:rsidR="00BF4143" w:rsidRPr="00986DAB" w:rsidRDefault="00BF4143" w:rsidP="0073287F">
      <w:pPr>
        <w:spacing w:after="0" w:line="240" w:lineRule="auto"/>
        <w:ind w:firstLine="567"/>
        <w:jc w:val="both"/>
        <w:rPr>
          <w:b/>
          <w:bCs/>
          <w:szCs w:val="20"/>
          <w:lang w:val="en-GB"/>
        </w:rPr>
      </w:pPr>
    </w:p>
    <w:p w14:paraId="19FCDEF0" w14:textId="77777777" w:rsidR="00BF4143" w:rsidRPr="00986DAB" w:rsidRDefault="00BF4143" w:rsidP="0073287F">
      <w:pPr>
        <w:spacing w:after="0" w:line="240" w:lineRule="auto"/>
        <w:ind w:firstLine="567"/>
        <w:jc w:val="both"/>
        <w:rPr>
          <w:b/>
          <w:bCs/>
          <w:szCs w:val="20"/>
          <w:lang w:val="en-GB"/>
        </w:rPr>
      </w:pPr>
    </w:p>
    <w:p w14:paraId="15015B62" w14:textId="77777777" w:rsidR="00BF4143" w:rsidRPr="00986DAB" w:rsidRDefault="00BF4143" w:rsidP="0073287F">
      <w:pPr>
        <w:spacing w:after="0" w:line="240" w:lineRule="auto"/>
        <w:ind w:firstLine="567"/>
        <w:jc w:val="both"/>
        <w:rPr>
          <w:b/>
          <w:bCs/>
          <w:szCs w:val="20"/>
          <w:lang w:val="en-GB"/>
        </w:rPr>
      </w:pPr>
    </w:p>
    <w:p w14:paraId="701B68EF" w14:textId="77777777" w:rsidR="00BF4143" w:rsidRPr="00986DAB" w:rsidRDefault="00BF4143" w:rsidP="0073287F">
      <w:pPr>
        <w:spacing w:after="0" w:line="240" w:lineRule="auto"/>
        <w:ind w:firstLine="567"/>
        <w:jc w:val="both"/>
        <w:rPr>
          <w:b/>
          <w:bCs/>
          <w:szCs w:val="20"/>
          <w:lang w:val="en-GB"/>
        </w:rPr>
      </w:pPr>
    </w:p>
    <w:p w14:paraId="66958AB7" w14:textId="77777777" w:rsidR="00BF4143" w:rsidRPr="00986DAB" w:rsidRDefault="00BF4143" w:rsidP="0073287F">
      <w:pPr>
        <w:spacing w:after="0" w:line="240" w:lineRule="auto"/>
        <w:ind w:firstLine="567"/>
        <w:jc w:val="both"/>
        <w:rPr>
          <w:b/>
          <w:bCs/>
          <w:szCs w:val="20"/>
          <w:lang w:val="en-GB"/>
        </w:rPr>
      </w:pPr>
    </w:p>
    <w:p w14:paraId="11F76BEB" w14:textId="77777777" w:rsidR="00BF4143" w:rsidRPr="00986DAB" w:rsidRDefault="00BF4143" w:rsidP="0073287F">
      <w:pPr>
        <w:spacing w:after="0" w:line="240" w:lineRule="auto"/>
        <w:ind w:firstLine="567"/>
        <w:jc w:val="both"/>
        <w:rPr>
          <w:b/>
          <w:bCs/>
          <w:szCs w:val="20"/>
          <w:lang w:val="en-GB"/>
        </w:rPr>
      </w:pPr>
    </w:p>
    <w:p w14:paraId="5BF3DD40" w14:textId="77777777" w:rsidR="00BF4143" w:rsidRPr="00986DAB" w:rsidRDefault="00BF4143" w:rsidP="0073287F">
      <w:pPr>
        <w:spacing w:after="0" w:line="240" w:lineRule="auto"/>
        <w:ind w:firstLine="567"/>
        <w:jc w:val="both"/>
        <w:rPr>
          <w:b/>
          <w:bCs/>
          <w:szCs w:val="20"/>
          <w:lang w:val="en-GB"/>
        </w:rPr>
      </w:pPr>
    </w:p>
    <w:p w14:paraId="357BDA02" w14:textId="77777777" w:rsidR="00BF4143" w:rsidRPr="00986DAB" w:rsidRDefault="00BF4143" w:rsidP="0073287F">
      <w:pPr>
        <w:spacing w:after="0" w:line="240" w:lineRule="auto"/>
        <w:ind w:firstLine="567"/>
        <w:jc w:val="both"/>
        <w:rPr>
          <w:b/>
          <w:bCs/>
          <w:szCs w:val="20"/>
          <w:lang w:val="en-GB"/>
        </w:rPr>
      </w:pPr>
    </w:p>
    <w:p w14:paraId="6B675EEF" w14:textId="77777777" w:rsidR="00BF4143" w:rsidRPr="00986DAB" w:rsidRDefault="00BF4143" w:rsidP="0073287F">
      <w:pPr>
        <w:spacing w:after="0" w:line="240" w:lineRule="auto"/>
        <w:ind w:firstLine="567"/>
        <w:jc w:val="both"/>
        <w:rPr>
          <w:b/>
          <w:bCs/>
          <w:szCs w:val="20"/>
          <w:lang w:val="en-GB"/>
        </w:rPr>
      </w:pPr>
    </w:p>
    <w:p w14:paraId="77B1D95A" w14:textId="7E1390D5" w:rsidR="00BF4143" w:rsidRDefault="00BF4143" w:rsidP="0073287F">
      <w:pPr>
        <w:spacing w:after="0" w:line="240" w:lineRule="auto"/>
        <w:ind w:firstLine="567"/>
        <w:jc w:val="both"/>
        <w:rPr>
          <w:b/>
          <w:bCs/>
          <w:szCs w:val="20"/>
          <w:lang w:val="en-GB"/>
        </w:rPr>
      </w:pPr>
    </w:p>
    <w:p w14:paraId="4FA82673" w14:textId="1D7CCA37" w:rsidR="004B3E80" w:rsidRDefault="004B3E80" w:rsidP="0073287F">
      <w:pPr>
        <w:spacing w:after="0" w:line="240" w:lineRule="auto"/>
        <w:ind w:firstLine="567"/>
        <w:jc w:val="both"/>
        <w:rPr>
          <w:b/>
          <w:bCs/>
          <w:szCs w:val="20"/>
          <w:lang w:val="en-GB"/>
        </w:rPr>
      </w:pPr>
    </w:p>
    <w:p w14:paraId="57666F67" w14:textId="03DB9F6F" w:rsidR="004B3E80" w:rsidRDefault="004B3E80" w:rsidP="0073287F">
      <w:pPr>
        <w:spacing w:after="0" w:line="240" w:lineRule="auto"/>
        <w:ind w:firstLine="567"/>
        <w:jc w:val="both"/>
        <w:rPr>
          <w:b/>
          <w:bCs/>
          <w:szCs w:val="20"/>
          <w:lang w:val="en-GB"/>
        </w:rPr>
      </w:pPr>
    </w:p>
    <w:p w14:paraId="1B802A69" w14:textId="2C35AA76" w:rsidR="004B3E80" w:rsidRDefault="004B3E80" w:rsidP="0073287F">
      <w:pPr>
        <w:spacing w:after="0" w:line="240" w:lineRule="auto"/>
        <w:ind w:firstLine="567"/>
        <w:jc w:val="both"/>
        <w:rPr>
          <w:b/>
          <w:bCs/>
          <w:szCs w:val="20"/>
          <w:lang w:val="en-GB"/>
        </w:rPr>
      </w:pPr>
    </w:p>
    <w:p w14:paraId="21D945D7" w14:textId="647B427A" w:rsidR="004B3E80" w:rsidRDefault="004B3E80" w:rsidP="0073287F">
      <w:pPr>
        <w:spacing w:after="0" w:line="240" w:lineRule="auto"/>
        <w:ind w:firstLine="567"/>
        <w:jc w:val="both"/>
        <w:rPr>
          <w:b/>
          <w:bCs/>
          <w:szCs w:val="20"/>
          <w:lang w:val="en-GB"/>
        </w:rPr>
      </w:pPr>
    </w:p>
    <w:p w14:paraId="67B22274" w14:textId="77777777" w:rsidR="004B3E80" w:rsidRPr="00986DAB" w:rsidRDefault="004B3E80" w:rsidP="0073287F">
      <w:pPr>
        <w:spacing w:after="0" w:line="240" w:lineRule="auto"/>
        <w:ind w:firstLine="567"/>
        <w:jc w:val="both"/>
        <w:rPr>
          <w:b/>
          <w:bCs/>
          <w:szCs w:val="20"/>
          <w:lang w:val="en-GB"/>
        </w:rPr>
      </w:pPr>
    </w:p>
    <w:p w14:paraId="7CEC4C80" w14:textId="77777777" w:rsidR="00BF4143" w:rsidRPr="00986DAB" w:rsidRDefault="00BF4143" w:rsidP="0073287F">
      <w:pPr>
        <w:spacing w:after="0" w:line="240" w:lineRule="auto"/>
        <w:ind w:firstLine="567"/>
        <w:jc w:val="both"/>
        <w:rPr>
          <w:rFonts w:ascii="Times New Roman" w:eastAsia="Times New Roman" w:hAnsi="Times New Roman" w:cs="Times New Roman"/>
          <w:bCs/>
          <w:i/>
          <w:color w:val="002060"/>
          <w:sz w:val="24"/>
          <w:szCs w:val="24"/>
          <w:lang w:val="en-GB" w:eastAsia="el-GR"/>
        </w:rPr>
      </w:pPr>
    </w:p>
    <w:p w14:paraId="103FBF9E" w14:textId="77777777" w:rsidR="007F3ABB" w:rsidRPr="00986DAB" w:rsidRDefault="007F3ABB">
      <w:pPr>
        <w:spacing w:after="0" w:line="240" w:lineRule="auto"/>
        <w:jc w:val="both"/>
        <w:rPr>
          <w:rFonts w:ascii="Times New Roman" w:eastAsia="Times New Roman" w:hAnsi="Times New Roman" w:cs="Times New Roman"/>
          <w:bCs/>
          <w:i/>
          <w:color w:val="002060"/>
          <w:sz w:val="24"/>
          <w:szCs w:val="24"/>
          <w:lang w:val="en-GB" w:eastAsia="el-GR"/>
        </w:rPr>
      </w:pPr>
    </w:p>
    <w:p w14:paraId="78A6C046" w14:textId="77777777" w:rsidR="007F3ABB" w:rsidRPr="00986DAB" w:rsidRDefault="009C764B" w:rsidP="00EF57B3">
      <w:pPr>
        <w:pStyle w:val="Heading1"/>
        <w:ind w:left="567"/>
        <w:rPr>
          <w:rFonts w:ascii="Times New Roman" w:hAnsi="Times New Roman"/>
          <w:b/>
          <w:color w:val="002060"/>
          <w:lang w:val="en-GB"/>
        </w:rPr>
      </w:pPr>
      <w:bookmarkStart w:id="0" w:name="_Toc216278026"/>
      <w:r w:rsidRPr="00986DAB">
        <w:rPr>
          <w:rFonts w:ascii="Times New Roman" w:hAnsi="Times New Roman"/>
          <w:b/>
          <w:color w:val="002060"/>
          <w:lang w:val="en-GB"/>
        </w:rPr>
        <w:t>1. GENERAL PROVISIONS</w:t>
      </w:r>
      <w:bookmarkEnd w:id="0"/>
      <w:r w:rsidRPr="00986DAB">
        <w:rPr>
          <w:rFonts w:ascii="Times New Roman" w:hAnsi="Times New Roman"/>
          <w:b/>
          <w:color w:val="002060"/>
          <w:lang w:val="en-GB"/>
        </w:rPr>
        <w:t xml:space="preserve"> </w:t>
      </w:r>
    </w:p>
    <w:p w14:paraId="302B4041" w14:textId="73008B1C" w:rsidR="00BF4143" w:rsidRPr="00986DAB" w:rsidRDefault="009C764B" w:rsidP="00BF4143">
      <w:pPr>
        <w:pStyle w:val="ListParagraph"/>
        <w:spacing w:after="0" w:line="240" w:lineRule="auto"/>
        <w:ind w:left="0"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1.1. </w:t>
      </w:r>
      <w:r w:rsidR="00902CF2">
        <w:rPr>
          <w:rFonts w:ascii="Times New Roman" w:eastAsia="Times New Roman" w:hAnsi="Times New Roman" w:cs="Times New Roman"/>
          <w:bCs/>
          <w:color w:val="002060"/>
          <w:sz w:val="24"/>
          <w:szCs w:val="24"/>
          <w:lang w:val="en-GB" w:eastAsia="el-GR"/>
        </w:rPr>
        <w:t>Environmental, Social and Governance R</w:t>
      </w:r>
      <w:r w:rsidR="00BF4143" w:rsidRPr="00986DAB">
        <w:rPr>
          <w:rFonts w:ascii="Times New Roman" w:eastAsia="Times New Roman" w:hAnsi="Times New Roman" w:cs="Times New Roman"/>
          <w:bCs/>
          <w:color w:val="002060"/>
          <w:sz w:val="24"/>
          <w:szCs w:val="24"/>
          <w:lang w:val="en-GB" w:eastAsia="el-GR"/>
        </w:rPr>
        <w:t xml:space="preserve">isks (ESG risks) </w:t>
      </w:r>
      <w:r w:rsidR="001A2FC1">
        <w:rPr>
          <w:rFonts w:ascii="Times New Roman" w:eastAsia="Times New Roman" w:hAnsi="Times New Roman" w:cs="Times New Roman"/>
          <w:bCs/>
          <w:color w:val="002060"/>
          <w:sz w:val="24"/>
          <w:szCs w:val="24"/>
          <w:lang w:val="en-GB" w:eastAsia="el-GR"/>
        </w:rPr>
        <w:t xml:space="preserve">Management </w:t>
      </w:r>
      <w:r w:rsidR="00902CF2">
        <w:rPr>
          <w:rFonts w:ascii="Times New Roman" w:eastAsia="Times New Roman" w:hAnsi="Times New Roman" w:cs="Times New Roman"/>
          <w:bCs/>
          <w:color w:val="002060"/>
          <w:sz w:val="24"/>
          <w:szCs w:val="24"/>
          <w:lang w:val="en-GB" w:eastAsia="el-GR"/>
        </w:rPr>
        <w:t>Policy</w:t>
      </w:r>
      <w:r w:rsidR="00902CF2" w:rsidRPr="00986DAB">
        <w:rPr>
          <w:rFonts w:ascii="Times New Roman" w:eastAsia="Times New Roman" w:hAnsi="Times New Roman" w:cs="Times New Roman"/>
          <w:bCs/>
          <w:color w:val="002060"/>
          <w:sz w:val="24"/>
          <w:szCs w:val="24"/>
          <w:lang w:val="en-GB" w:eastAsia="el-GR"/>
        </w:rPr>
        <w:t xml:space="preserve"> </w:t>
      </w:r>
      <w:r w:rsidR="00BF4143" w:rsidRPr="00986DAB">
        <w:rPr>
          <w:rFonts w:ascii="Times New Roman" w:eastAsia="Times New Roman" w:hAnsi="Times New Roman" w:cs="Times New Roman"/>
          <w:bCs/>
          <w:color w:val="002060"/>
          <w:sz w:val="24"/>
          <w:szCs w:val="24"/>
          <w:lang w:val="en-GB" w:eastAsia="el-GR"/>
        </w:rPr>
        <w:t xml:space="preserve">at </w:t>
      </w:r>
      <w:r w:rsidR="001A2FC1" w:rsidRPr="00986DAB">
        <w:rPr>
          <w:rFonts w:ascii="Times New Roman" w:eastAsia="Times New Roman" w:hAnsi="Times New Roman" w:cs="Times New Roman"/>
          <w:bCs/>
          <w:color w:val="002060"/>
          <w:sz w:val="24"/>
          <w:szCs w:val="24"/>
          <w:lang w:val="en-GB" w:eastAsia="el-GR"/>
        </w:rPr>
        <w:t xml:space="preserve">JSC </w:t>
      </w:r>
      <w:r w:rsidR="001A2FC1" w:rsidRPr="001A2FC1">
        <w:rPr>
          <w:rFonts w:ascii="Times New Roman" w:eastAsia="Times New Roman" w:hAnsi="Times New Roman" w:cs="Times New Roman"/>
          <w:bCs/>
          <w:color w:val="002060"/>
          <w:sz w:val="24"/>
          <w:szCs w:val="24"/>
          <w:lang w:val="en-GB" w:eastAsia="el-GR"/>
        </w:rPr>
        <w:t>"PIRAEUS BANK ICB"</w:t>
      </w:r>
      <w:r w:rsidR="00BF4143" w:rsidRPr="00986DAB">
        <w:rPr>
          <w:rFonts w:ascii="Times New Roman" w:eastAsia="Times New Roman" w:hAnsi="Times New Roman" w:cs="Times New Roman"/>
          <w:bCs/>
          <w:color w:val="002060"/>
          <w:sz w:val="24"/>
          <w:szCs w:val="24"/>
          <w:lang w:val="en-GB" w:eastAsia="el-GR"/>
        </w:rPr>
        <w:t xml:space="preserve"> (hereinafter referred to as the Policy) defines the general principles, approaches and requirements for managing risks related to environmental impact, social consequences and corporate governance issues in the course of banking activities.</w:t>
      </w:r>
    </w:p>
    <w:p w14:paraId="064CDD27" w14:textId="77777777" w:rsidR="00BF4143" w:rsidRPr="00986DAB" w:rsidRDefault="00BF4143" w:rsidP="00BF4143">
      <w:pPr>
        <w:pStyle w:val="ListParagraph"/>
        <w:spacing w:after="0" w:line="240" w:lineRule="auto"/>
        <w:ind w:left="0"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Policy establishes a unified approach to identifying, assessing, monitoring, controlling and mitigating ESG risks in the Bank's activities. It </w:t>
      </w:r>
      <w:proofErr w:type="gramStart"/>
      <w:r w:rsidRPr="00986DAB">
        <w:rPr>
          <w:rFonts w:ascii="Times New Roman" w:eastAsia="Times New Roman" w:hAnsi="Times New Roman" w:cs="Times New Roman"/>
          <w:bCs/>
          <w:color w:val="002060"/>
          <w:sz w:val="24"/>
          <w:szCs w:val="24"/>
          <w:lang w:val="en-GB" w:eastAsia="el-GR"/>
        </w:rPr>
        <w:t>is based</w:t>
      </w:r>
      <w:proofErr w:type="gramEnd"/>
      <w:r w:rsidRPr="00986DAB">
        <w:rPr>
          <w:rFonts w:ascii="Times New Roman" w:eastAsia="Times New Roman" w:hAnsi="Times New Roman" w:cs="Times New Roman"/>
          <w:bCs/>
          <w:color w:val="002060"/>
          <w:sz w:val="24"/>
          <w:szCs w:val="24"/>
          <w:lang w:val="en-GB" w:eastAsia="el-GR"/>
        </w:rPr>
        <w:t xml:space="preserve"> on the recognition that proper management of ESG risks is a prerequisite for ensuring long-term financial stability, reputational integrity and a responsible attitude towards stakeholders.</w:t>
      </w:r>
    </w:p>
    <w:p w14:paraId="4DCCC4FC" w14:textId="77777777" w:rsidR="007F3ABB" w:rsidRPr="00986DAB" w:rsidRDefault="00BF4143" w:rsidP="00BF4143">
      <w:pPr>
        <w:pStyle w:val="ListParagraph"/>
        <w:spacing w:after="0" w:line="240" w:lineRule="auto"/>
        <w:ind w:left="0" w:firstLine="567"/>
        <w:jc w:val="both"/>
        <w:rPr>
          <w:rFonts w:ascii="Times New Roman" w:eastAsia="Times New Roman" w:hAnsi="Times New Roman" w:cs="Times New Roman"/>
          <w:bCs/>
          <w:i/>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The policy also regulates the application of internal procedures for integrating ESG factors into the Bank's lending, investment decisions, corporate governance and operational activities, taking into account current international approaches to sustainable development and regulatory requirements.</w:t>
      </w:r>
    </w:p>
    <w:p w14:paraId="43ADCAA4" w14:textId="77777777" w:rsidR="00BF4143" w:rsidRPr="00986DAB" w:rsidRDefault="009C764B" w:rsidP="00BF4143">
      <w:pPr>
        <w:tabs>
          <w:tab w:val="left" w:pos="142"/>
          <w:tab w:val="left" w:pos="851"/>
        </w:tabs>
        <w:spacing w:after="0"/>
        <w:ind w:firstLine="567"/>
        <w:jc w:val="both"/>
        <w:rPr>
          <w:rFonts w:ascii="Times New Roman" w:hAnsi="Times New Roman" w:cs="Times New Roman"/>
          <w:color w:val="002060"/>
          <w:sz w:val="24"/>
          <w:szCs w:val="24"/>
          <w:lang w:val="en-GB"/>
        </w:rPr>
      </w:pPr>
      <w:r w:rsidRPr="00986DAB">
        <w:rPr>
          <w:rFonts w:ascii="Times New Roman" w:eastAsia="Times New Roman" w:hAnsi="Times New Roman" w:cs="Times New Roman"/>
          <w:bCs/>
          <w:color w:val="002060"/>
          <w:sz w:val="24"/>
          <w:szCs w:val="24"/>
          <w:lang w:val="en-GB" w:eastAsia="el-GR"/>
        </w:rPr>
        <w:t xml:space="preserve">1.2. </w:t>
      </w:r>
      <w:r w:rsidR="00BF4143" w:rsidRPr="00986DAB">
        <w:rPr>
          <w:rFonts w:ascii="Times New Roman" w:hAnsi="Times New Roman" w:cs="Times New Roman"/>
          <w:color w:val="002060"/>
          <w:sz w:val="24"/>
          <w:szCs w:val="24"/>
          <w:lang w:val="en-GB"/>
        </w:rPr>
        <w:t xml:space="preserve">The Policy is an internal regulatory document of the Bank, developed </w:t>
      </w:r>
      <w:proofErr w:type="gramStart"/>
      <w:r w:rsidR="00BF4143" w:rsidRPr="00986DAB">
        <w:rPr>
          <w:rFonts w:ascii="Times New Roman" w:hAnsi="Times New Roman" w:cs="Times New Roman"/>
          <w:color w:val="002060"/>
          <w:sz w:val="24"/>
          <w:szCs w:val="24"/>
          <w:lang w:val="en-GB"/>
        </w:rPr>
        <w:t>in accordance with</w:t>
      </w:r>
      <w:proofErr w:type="gramEnd"/>
      <w:r w:rsidR="00BF4143" w:rsidRPr="00986DAB">
        <w:rPr>
          <w:rFonts w:ascii="Times New Roman" w:hAnsi="Times New Roman" w:cs="Times New Roman"/>
          <w:color w:val="002060"/>
          <w:sz w:val="24"/>
          <w:szCs w:val="24"/>
          <w:lang w:val="en-GB"/>
        </w:rPr>
        <w:t>:</w:t>
      </w:r>
    </w:p>
    <w:p w14:paraId="7D43E046" w14:textId="368328FD" w:rsidR="00BF4143" w:rsidRPr="004B3E80" w:rsidRDefault="00BF4143"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sidRPr="004B3E80">
        <w:rPr>
          <w:rFonts w:ascii="Times New Roman" w:hAnsi="Times New Roman" w:cs="Times New Roman"/>
          <w:color w:val="002060"/>
          <w:sz w:val="24"/>
          <w:szCs w:val="24"/>
          <w:lang w:val="en-GB"/>
        </w:rPr>
        <w:t xml:space="preserve">Law of Ukraine "On Banks and Banking Activities" </w:t>
      </w:r>
      <w:r w:rsidR="00CA47C2" w:rsidRPr="004B3E80">
        <w:rPr>
          <w:rFonts w:ascii="Times New Roman" w:hAnsi="Times New Roman"/>
          <w:color w:val="002060"/>
          <w:sz w:val="24"/>
          <w:szCs w:val="24"/>
          <w:lang w:val="en-GB"/>
        </w:rPr>
        <w:t xml:space="preserve">No. 2121-III </w:t>
      </w:r>
      <w:r w:rsidR="00ED257C" w:rsidRPr="004B3E80">
        <w:rPr>
          <w:rFonts w:ascii="Times New Roman" w:hAnsi="Times New Roman"/>
          <w:color w:val="002060"/>
          <w:sz w:val="24"/>
          <w:szCs w:val="24"/>
          <w:lang w:val="en-GB"/>
        </w:rPr>
        <w:t>dated 07.12.2000, as amended and supplemented</w:t>
      </w:r>
      <w:r w:rsidR="00902CF2">
        <w:rPr>
          <w:rFonts w:ascii="Times New Roman" w:hAnsi="Times New Roman" w:cs="Times New Roman"/>
          <w:color w:val="002060"/>
          <w:sz w:val="24"/>
          <w:szCs w:val="24"/>
          <w:lang w:val="en-GB"/>
        </w:rPr>
        <w:t>.</w:t>
      </w:r>
    </w:p>
    <w:p w14:paraId="2FFFD072" w14:textId="2AEE3462" w:rsidR="00BF4143" w:rsidRPr="004B3E80" w:rsidRDefault="00BF4143"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sidRPr="004B3E80">
        <w:rPr>
          <w:rFonts w:ascii="Times New Roman" w:hAnsi="Times New Roman" w:cs="Times New Roman"/>
          <w:color w:val="002060"/>
          <w:sz w:val="24"/>
          <w:szCs w:val="24"/>
          <w:lang w:val="en-GB"/>
        </w:rPr>
        <w:t xml:space="preserve">Law of Ukraine "On Environmental Protection" </w:t>
      </w:r>
      <w:r w:rsidR="00CA47C2" w:rsidRPr="004B3E80">
        <w:rPr>
          <w:rFonts w:ascii="Times New Roman" w:hAnsi="Times New Roman"/>
          <w:color w:val="002060"/>
          <w:sz w:val="24"/>
          <w:szCs w:val="24"/>
          <w:lang w:val="en-GB"/>
        </w:rPr>
        <w:t>No. 1264-12 dated 25.06.1991, as amended and supplemented</w:t>
      </w:r>
      <w:r w:rsidR="00902CF2">
        <w:rPr>
          <w:rFonts w:ascii="Times New Roman" w:hAnsi="Times New Roman"/>
          <w:color w:val="002060"/>
          <w:sz w:val="24"/>
          <w:szCs w:val="24"/>
          <w:lang w:val="en-GB"/>
        </w:rPr>
        <w:t>.</w:t>
      </w:r>
    </w:p>
    <w:p w14:paraId="03EC785D" w14:textId="14BD85E6" w:rsidR="00B44865" w:rsidRPr="004B3E80" w:rsidRDefault="00B44865"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sidRPr="004B3E80">
        <w:rPr>
          <w:rFonts w:ascii="Times New Roman" w:hAnsi="Times New Roman" w:cs="Times New Roman"/>
          <w:color w:val="002060"/>
          <w:sz w:val="24"/>
          <w:szCs w:val="24"/>
          <w:lang w:val="en-GB"/>
        </w:rPr>
        <w:t xml:space="preserve">Law of Ukraine "On Environmental Impact Assessment" </w:t>
      </w:r>
      <w:r w:rsidR="00F9504B" w:rsidRPr="004B3E80">
        <w:rPr>
          <w:rFonts w:ascii="Times New Roman" w:hAnsi="Times New Roman" w:cs="Times New Roman"/>
          <w:color w:val="002060"/>
          <w:sz w:val="24"/>
          <w:szCs w:val="24"/>
          <w:lang w:val="en-GB"/>
        </w:rPr>
        <w:t>No. 2059-VIII dated 23.05.201</w:t>
      </w:r>
      <w:r w:rsidR="00902CF2">
        <w:rPr>
          <w:rFonts w:ascii="Times New Roman" w:hAnsi="Times New Roman" w:cs="Times New Roman"/>
          <w:color w:val="002060"/>
          <w:sz w:val="24"/>
          <w:szCs w:val="24"/>
          <w:lang w:val="en-GB"/>
        </w:rPr>
        <w:t>7, as amended and supplemented.</w:t>
      </w:r>
    </w:p>
    <w:p w14:paraId="21D23E2F" w14:textId="56C7FB66" w:rsidR="00BF4143" w:rsidRPr="004B3E80" w:rsidRDefault="00BF4143"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sidRPr="004B3E80">
        <w:rPr>
          <w:rFonts w:ascii="Times New Roman" w:hAnsi="Times New Roman" w:cs="Times New Roman"/>
          <w:color w:val="002060"/>
          <w:sz w:val="24"/>
          <w:szCs w:val="24"/>
          <w:lang w:val="en-GB"/>
        </w:rPr>
        <w:t xml:space="preserve">Law of Ukraine "On State Social Standards and State Social Guarantees" </w:t>
      </w:r>
      <w:r w:rsidR="00F9504B" w:rsidRPr="004B3E80">
        <w:rPr>
          <w:rFonts w:ascii="Times New Roman" w:hAnsi="Times New Roman" w:cs="Times New Roman"/>
          <w:color w:val="002060"/>
          <w:sz w:val="24"/>
          <w:szCs w:val="24"/>
          <w:lang w:val="en-GB"/>
        </w:rPr>
        <w:t>No. 2017-III dated 5 October 2000, as amended and supplemented</w:t>
      </w:r>
      <w:r w:rsidR="00902CF2">
        <w:rPr>
          <w:rFonts w:ascii="Times New Roman" w:hAnsi="Times New Roman" w:cs="Times New Roman"/>
          <w:color w:val="002060"/>
          <w:sz w:val="24"/>
          <w:szCs w:val="24"/>
          <w:lang w:val="en-GB"/>
        </w:rPr>
        <w:t>.</w:t>
      </w:r>
    </w:p>
    <w:p w14:paraId="19A865F8" w14:textId="4B05F5F9" w:rsidR="00BF4143" w:rsidRPr="004B3E80" w:rsidRDefault="00BF4143"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sidRPr="004B3E80">
        <w:rPr>
          <w:rFonts w:ascii="Times New Roman" w:hAnsi="Times New Roman" w:cs="Times New Roman"/>
          <w:color w:val="002060"/>
          <w:sz w:val="24"/>
          <w:szCs w:val="24"/>
          <w:lang w:val="en-GB"/>
        </w:rPr>
        <w:t xml:space="preserve">The Labour Code of Ukraine </w:t>
      </w:r>
      <w:r w:rsidR="00361D27" w:rsidRPr="004B3E80">
        <w:rPr>
          <w:rFonts w:ascii="Times New Roman" w:hAnsi="Times New Roman" w:cs="Times New Roman"/>
          <w:color w:val="002060"/>
          <w:sz w:val="24"/>
          <w:szCs w:val="24"/>
          <w:lang w:val="en-GB"/>
        </w:rPr>
        <w:t>No. 322-VIII dated 10 December 1971</w:t>
      </w:r>
      <w:r w:rsidR="00902CF2">
        <w:rPr>
          <w:rFonts w:ascii="Times New Roman" w:hAnsi="Times New Roman" w:cs="Times New Roman"/>
          <w:color w:val="002060"/>
          <w:sz w:val="24"/>
          <w:szCs w:val="24"/>
          <w:lang w:val="en-GB"/>
        </w:rPr>
        <w:t>.</w:t>
      </w:r>
    </w:p>
    <w:p w14:paraId="6C5CAD36" w14:textId="2C4B1657" w:rsidR="009C3F50" w:rsidRPr="004B3E80" w:rsidRDefault="009C3F50"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sidRPr="004B3E80">
        <w:rPr>
          <w:rFonts w:ascii="Times New Roman" w:eastAsia="Times New Roman" w:hAnsi="Times New Roman" w:cs="Times New Roman"/>
          <w:bCs/>
          <w:color w:val="002060"/>
          <w:sz w:val="24"/>
          <w:szCs w:val="24"/>
          <w:lang w:val="en-GB" w:eastAsia="el-GR"/>
        </w:rPr>
        <w:t xml:space="preserve">Environmental &amp; Social Management System </w:t>
      </w:r>
      <w:r w:rsidRPr="004B3E80">
        <w:rPr>
          <w:rFonts w:ascii="Times New Roman" w:hAnsi="Times New Roman" w:cs="Times New Roman"/>
          <w:color w:val="002060"/>
          <w:sz w:val="24"/>
          <w:szCs w:val="24"/>
          <w:lang w:val="en-GB"/>
        </w:rPr>
        <w:t>Piraeus Bank Group</w:t>
      </w:r>
      <w:r w:rsidR="00902CF2">
        <w:rPr>
          <w:rFonts w:ascii="Times New Roman" w:hAnsi="Times New Roman" w:cs="Times New Roman"/>
          <w:color w:val="002060"/>
          <w:sz w:val="24"/>
          <w:szCs w:val="24"/>
          <w:lang w:val="en-GB"/>
        </w:rPr>
        <w:t>.</w:t>
      </w:r>
    </w:p>
    <w:p w14:paraId="3A6DF3D1" w14:textId="5105ACCB" w:rsidR="00BF4143" w:rsidRPr="004B3E80" w:rsidRDefault="00BF4143"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sidRPr="004B3E80">
        <w:rPr>
          <w:rFonts w:ascii="Times New Roman" w:hAnsi="Times New Roman" w:cs="Times New Roman"/>
          <w:color w:val="002060"/>
          <w:sz w:val="24"/>
          <w:szCs w:val="24"/>
          <w:lang w:val="en-GB"/>
        </w:rPr>
        <w:t xml:space="preserve">Risk </w:t>
      </w:r>
      <w:r w:rsidR="009C3F50" w:rsidRPr="004B3E80">
        <w:rPr>
          <w:rFonts w:ascii="Times New Roman" w:hAnsi="Times New Roman" w:cs="Times New Roman"/>
          <w:color w:val="002060"/>
          <w:sz w:val="24"/>
          <w:szCs w:val="24"/>
          <w:lang w:val="en-GB"/>
        </w:rPr>
        <w:t xml:space="preserve">and Capital </w:t>
      </w:r>
      <w:r w:rsidRPr="004B3E80">
        <w:rPr>
          <w:rFonts w:ascii="Times New Roman" w:hAnsi="Times New Roman" w:cs="Times New Roman"/>
          <w:color w:val="002060"/>
          <w:sz w:val="24"/>
          <w:szCs w:val="24"/>
          <w:lang w:val="en-GB"/>
        </w:rPr>
        <w:t>Management Strategy</w:t>
      </w:r>
      <w:r w:rsidR="004B3E80" w:rsidRPr="004B3E80">
        <w:rPr>
          <w:rFonts w:ascii="Times New Roman" w:hAnsi="Times New Roman" w:cs="Times New Roman"/>
          <w:color w:val="002060"/>
          <w:sz w:val="24"/>
          <w:szCs w:val="24"/>
          <w:lang w:val="en-GB"/>
        </w:rPr>
        <w:t xml:space="preserve"> JSC </w:t>
      </w:r>
      <w:r w:rsidR="004B3E80" w:rsidRPr="004B3E80">
        <w:rPr>
          <w:rFonts w:ascii="Times New Roman" w:hAnsi="Times New Roman"/>
          <w:color w:val="1F497D"/>
          <w:sz w:val="24"/>
          <w:szCs w:val="24"/>
          <w:lang w:eastAsia="el-GR"/>
        </w:rPr>
        <w:t>"PIRAEUS BANK ICB"</w:t>
      </w:r>
      <w:r w:rsidR="00902CF2">
        <w:rPr>
          <w:rFonts w:ascii="Times New Roman" w:hAnsi="Times New Roman" w:cs="Times New Roman"/>
          <w:color w:val="002060"/>
          <w:sz w:val="24"/>
          <w:szCs w:val="24"/>
          <w:lang w:val="en-GB"/>
        </w:rPr>
        <w:t>.</w:t>
      </w:r>
    </w:p>
    <w:p w14:paraId="272F74DD" w14:textId="4543339B" w:rsidR="00BF4143" w:rsidRPr="004B3E80" w:rsidRDefault="00BF4143"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sidRPr="004B3E80">
        <w:rPr>
          <w:rFonts w:ascii="Times New Roman" w:hAnsi="Times New Roman" w:cs="Times New Roman"/>
          <w:color w:val="002060"/>
          <w:sz w:val="24"/>
          <w:szCs w:val="24"/>
          <w:lang w:val="en-GB"/>
        </w:rPr>
        <w:t xml:space="preserve">Credit Policy </w:t>
      </w:r>
      <w:r w:rsidR="00777ADA" w:rsidRPr="004B3E80">
        <w:rPr>
          <w:rFonts w:ascii="Times New Roman" w:hAnsi="Times New Roman" w:cs="Times New Roman"/>
          <w:color w:val="002060"/>
          <w:sz w:val="24"/>
          <w:szCs w:val="24"/>
          <w:lang w:val="en-GB"/>
        </w:rPr>
        <w:t>for SME and Corporate Business Clients</w:t>
      </w:r>
      <w:r w:rsidR="004B3E80" w:rsidRPr="004B3E80">
        <w:rPr>
          <w:rFonts w:ascii="Times New Roman" w:hAnsi="Times New Roman" w:cs="Times New Roman"/>
          <w:color w:val="002060"/>
          <w:sz w:val="24"/>
          <w:szCs w:val="24"/>
          <w:lang w:val="en-GB"/>
        </w:rPr>
        <w:t xml:space="preserve"> </w:t>
      </w:r>
      <w:r w:rsidR="00902CF2">
        <w:rPr>
          <w:rFonts w:ascii="Times New Roman" w:hAnsi="Times New Roman" w:cs="Times New Roman"/>
          <w:color w:val="002060"/>
          <w:sz w:val="24"/>
          <w:szCs w:val="24"/>
          <w:lang w:val="en-GB"/>
        </w:rPr>
        <w:t xml:space="preserve">JSC </w:t>
      </w:r>
      <w:r w:rsidR="004B3E80" w:rsidRPr="004B3E80">
        <w:rPr>
          <w:rFonts w:ascii="Times New Roman" w:hAnsi="Times New Roman"/>
          <w:color w:val="1F497D"/>
          <w:sz w:val="24"/>
          <w:szCs w:val="24"/>
          <w:lang w:eastAsia="el-GR"/>
        </w:rPr>
        <w:t>"PIRAEUS BANK ICB"</w:t>
      </w:r>
      <w:r w:rsidR="00777ADA" w:rsidRPr="004B3E80">
        <w:rPr>
          <w:rFonts w:ascii="Times New Roman" w:hAnsi="Times New Roman" w:cs="Times New Roman"/>
          <w:color w:val="002060"/>
          <w:sz w:val="24"/>
          <w:szCs w:val="24"/>
          <w:lang w:val="en-GB"/>
        </w:rPr>
        <w:t xml:space="preserve"> for the relevant year</w:t>
      </w:r>
      <w:r w:rsidR="00902CF2">
        <w:rPr>
          <w:rFonts w:ascii="Times New Roman" w:hAnsi="Times New Roman" w:cs="Times New Roman"/>
          <w:color w:val="002060"/>
          <w:sz w:val="24"/>
          <w:szCs w:val="24"/>
          <w:lang w:val="en-GB"/>
        </w:rPr>
        <w:t>.</w:t>
      </w:r>
    </w:p>
    <w:p w14:paraId="62A31741" w14:textId="2AAE9AEC" w:rsidR="009C3F50" w:rsidRPr="004B3E80" w:rsidRDefault="00902CF2"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Pr>
          <w:rFonts w:ascii="Times New Roman" w:hAnsi="Times New Roman" w:cs="Times New Roman"/>
          <w:color w:val="002060"/>
          <w:sz w:val="24"/>
          <w:szCs w:val="24"/>
          <w:lang w:val="en-GB"/>
        </w:rPr>
        <w:t>IFC Performance Standards.</w:t>
      </w:r>
    </w:p>
    <w:p w14:paraId="25BFF1B4" w14:textId="5BEBD691" w:rsidR="009C3F50" w:rsidRPr="004B3E80" w:rsidRDefault="00BF4143"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sidRPr="004B3E80">
        <w:rPr>
          <w:rFonts w:ascii="Times New Roman" w:hAnsi="Times New Roman" w:cs="Times New Roman"/>
          <w:color w:val="002060"/>
          <w:sz w:val="24"/>
          <w:szCs w:val="24"/>
          <w:lang w:val="en-GB"/>
        </w:rPr>
        <w:t xml:space="preserve">EBRD </w:t>
      </w:r>
      <w:r w:rsidR="00902CF2">
        <w:rPr>
          <w:rFonts w:ascii="Times New Roman" w:hAnsi="Times New Roman" w:cs="Times New Roman"/>
          <w:color w:val="002060"/>
          <w:sz w:val="24"/>
          <w:szCs w:val="24"/>
          <w:lang w:val="en-GB"/>
        </w:rPr>
        <w:t>Environmental and Social Policy.</w:t>
      </w:r>
      <w:r w:rsidR="009C3F50" w:rsidRPr="004B3E80">
        <w:rPr>
          <w:rFonts w:ascii="Times New Roman" w:hAnsi="Times New Roman" w:cs="Times New Roman"/>
          <w:color w:val="002060"/>
          <w:sz w:val="24"/>
          <w:szCs w:val="24"/>
          <w:lang w:val="en-GB"/>
        </w:rPr>
        <w:t xml:space="preserve"> </w:t>
      </w:r>
    </w:p>
    <w:p w14:paraId="4FA85F1B" w14:textId="38A3CC98" w:rsidR="009C3F50" w:rsidRPr="004B3E80" w:rsidRDefault="00902CF2"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Pr>
          <w:rFonts w:ascii="Times New Roman" w:hAnsi="Times New Roman" w:cs="Times New Roman"/>
          <w:color w:val="002060"/>
          <w:sz w:val="24"/>
          <w:szCs w:val="24"/>
          <w:lang w:val="en-GB"/>
        </w:rPr>
        <w:t>Equator Principles.</w:t>
      </w:r>
    </w:p>
    <w:p w14:paraId="09556B0D" w14:textId="06FC100D" w:rsidR="007F3ABB" w:rsidRPr="004B3E80" w:rsidRDefault="004B3E80" w:rsidP="004B3E80">
      <w:pPr>
        <w:pStyle w:val="ListParagraph"/>
        <w:numPr>
          <w:ilvl w:val="0"/>
          <w:numId w:val="27"/>
        </w:numPr>
        <w:tabs>
          <w:tab w:val="left" w:pos="142"/>
          <w:tab w:val="left" w:pos="851"/>
        </w:tabs>
        <w:spacing w:after="0"/>
        <w:jc w:val="both"/>
        <w:rPr>
          <w:rFonts w:ascii="Times New Roman" w:hAnsi="Times New Roman" w:cs="Times New Roman"/>
          <w:color w:val="002060"/>
          <w:sz w:val="24"/>
          <w:szCs w:val="24"/>
          <w:lang w:val="en-GB"/>
        </w:rPr>
      </w:pPr>
      <w:r w:rsidRPr="004B3E80">
        <w:rPr>
          <w:rFonts w:ascii="Times New Roman" w:hAnsi="Times New Roman" w:cs="Times New Roman"/>
          <w:color w:val="002060"/>
          <w:sz w:val="24"/>
          <w:szCs w:val="24"/>
          <w:lang w:val="en-GB"/>
        </w:rPr>
        <w:t>SDGs</w:t>
      </w:r>
      <w:r w:rsidR="009C764B" w:rsidRPr="004B3E80">
        <w:rPr>
          <w:rFonts w:ascii="Times New Roman" w:eastAsia="Times New Roman" w:hAnsi="Times New Roman" w:cs="Times New Roman"/>
          <w:bCs/>
          <w:color w:val="002060"/>
          <w:sz w:val="24"/>
          <w:szCs w:val="24"/>
          <w:lang w:val="en-GB" w:eastAsia="el-GR"/>
        </w:rPr>
        <w:t xml:space="preserve">. </w:t>
      </w:r>
    </w:p>
    <w:p w14:paraId="2CF875D7" w14:textId="77777777" w:rsidR="009C3F50" w:rsidRPr="00986DAB" w:rsidRDefault="009C764B" w:rsidP="009C3F50">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1.3.</w:t>
      </w:r>
      <w:r w:rsidRPr="00986DAB">
        <w:rPr>
          <w:rFonts w:ascii="Times New Roman" w:eastAsia="Times New Roman" w:hAnsi="Times New Roman" w:cs="Times New Roman"/>
          <w:bCs/>
          <w:i/>
          <w:color w:val="002060"/>
          <w:sz w:val="24"/>
          <w:szCs w:val="24"/>
          <w:lang w:val="en-GB" w:eastAsia="el-GR"/>
        </w:rPr>
        <w:t xml:space="preserve">  </w:t>
      </w:r>
      <w:r w:rsidR="009C3F50" w:rsidRPr="00986DAB">
        <w:rPr>
          <w:rFonts w:ascii="Times New Roman" w:eastAsia="Times New Roman" w:hAnsi="Times New Roman" w:cs="Times New Roman"/>
          <w:bCs/>
          <w:color w:val="002060"/>
          <w:sz w:val="24"/>
          <w:szCs w:val="24"/>
          <w:lang w:val="en-GB" w:eastAsia="el-GR"/>
        </w:rPr>
        <w:t xml:space="preserve"> The purpose of the Policy is to create an effective and comprehensive ESG risk management system that:</w:t>
      </w:r>
    </w:p>
    <w:p w14:paraId="52CD81B6" w14:textId="77777777" w:rsidR="009C3F50" w:rsidRPr="00986DAB" w:rsidRDefault="009C3F50" w:rsidP="009C3F50">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integrates ESG factors into all of the Bank's business processes;</w:t>
      </w:r>
    </w:p>
    <w:p w14:paraId="30F5FD55" w14:textId="77777777" w:rsidR="009C3F50" w:rsidRPr="00986DAB" w:rsidRDefault="009C3F50" w:rsidP="009C3F50">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ensures compliance with national legislation and international standards;</w:t>
      </w:r>
    </w:p>
    <w:p w14:paraId="68047407" w14:textId="77777777" w:rsidR="009C3F50" w:rsidRPr="00986DAB" w:rsidRDefault="009C3F50" w:rsidP="009C3F50">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minimises the potential negative impact of the Bank's activities and those of its customers on the environment, society and management ethics;</w:t>
      </w:r>
    </w:p>
    <w:p w14:paraId="0DE41BB2" w14:textId="77777777" w:rsidR="009C3F50" w:rsidRPr="00986DAB" w:rsidRDefault="009C3F50" w:rsidP="009C3F50">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promotes the Bank's positive business reputation;</w:t>
      </w:r>
    </w:p>
    <w:p w14:paraId="03072567" w14:textId="77777777" w:rsidR="007F3ABB" w:rsidRPr="00986DAB" w:rsidRDefault="009C3F50" w:rsidP="009C3F50">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val="en-GB" w:eastAsia="el-GR"/>
        </w:rPr>
      </w:pPr>
      <w:proofErr w:type="gramStart"/>
      <w:r w:rsidRPr="00986DAB">
        <w:rPr>
          <w:rFonts w:ascii="Times New Roman" w:eastAsia="Times New Roman" w:hAnsi="Times New Roman" w:cs="Times New Roman"/>
          <w:bCs/>
          <w:color w:val="002060"/>
          <w:sz w:val="24"/>
          <w:szCs w:val="24"/>
          <w:lang w:val="en-GB" w:eastAsia="el-GR"/>
        </w:rPr>
        <w:t>increases</w:t>
      </w:r>
      <w:proofErr w:type="gramEnd"/>
      <w:r w:rsidRPr="00986DAB">
        <w:rPr>
          <w:rFonts w:ascii="Times New Roman" w:eastAsia="Times New Roman" w:hAnsi="Times New Roman" w:cs="Times New Roman"/>
          <w:bCs/>
          <w:color w:val="002060"/>
          <w:sz w:val="24"/>
          <w:szCs w:val="24"/>
          <w:lang w:val="en-GB" w:eastAsia="el-GR"/>
        </w:rPr>
        <w:t xml:space="preserve"> transparency, sustainable financing and social responsibility</w:t>
      </w:r>
      <w:r w:rsidR="009C764B" w:rsidRPr="00986DAB">
        <w:rPr>
          <w:rFonts w:ascii="Times New Roman" w:eastAsia="Times New Roman" w:hAnsi="Times New Roman" w:cs="Times New Roman"/>
          <w:bCs/>
          <w:color w:val="002060"/>
          <w:sz w:val="24"/>
          <w:szCs w:val="24"/>
          <w:lang w:val="en-GB" w:eastAsia="el-GR"/>
        </w:rPr>
        <w:t xml:space="preserve">. </w:t>
      </w:r>
    </w:p>
    <w:p w14:paraId="44329A90" w14:textId="77777777" w:rsidR="009C3F50" w:rsidRPr="00986DAB" w:rsidRDefault="009C764B" w:rsidP="009C3F50">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1.4. </w:t>
      </w:r>
      <w:r w:rsidR="009C3F50" w:rsidRPr="00986DAB">
        <w:rPr>
          <w:rFonts w:ascii="Times New Roman" w:eastAsia="Times New Roman" w:hAnsi="Times New Roman" w:cs="Times New Roman"/>
          <w:bCs/>
          <w:color w:val="002060"/>
          <w:sz w:val="24"/>
          <w:szCs w:val="24"/>
          <w:lang w:val="en-GB" w:eastAsia="el-GR"/>
        </w:rPr>
        <w:t>The scope of the Policy covers:</w:t>
      </w:r>
    </w:p>
    <w:p w14:paraId="64605E5B" w14:textId="51AD3CCA" w:rsidR="009C3F50" w:rsidRPr="00986DAB" w:rsidRDefault="009C3F50" w:rsidP="00007E14">
      <w:pPr>
        <w:pStyle w:val="ListParagraph"/>
        <w:numPr>
          <w:ilvl w:val="0"/>
          <w:numId w:val="12"/>
        </w:numPr>
        <w:spacing w:after="0" w:line="240" w:lineRule="auto"/>
        <w:ind w:left="993"/>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all structural </w:t>
      </w:r>
      <w:r w:rsidR="00D44B25">
        <w:rPr>
          <w:rFonts w:ascii="Times New Roman" w:eastAsia="Times New Roman" w:hAnsi="Times New Roman" w:cs="Times New Roman"/>
          <w:bCs/>
          <w:color w:val="002060"/>
          <w:sz w:val="24"/>
          <w:szCs w:val="24"/>
          <w:lang w:val="en-GB" w:eastAsia="el-GR"/>
        </w:rPr>
        <w:t>u</w:t>
      </w:r>
      <w:r w:rsidRPr="00986DAB">
        <w:rPr>
          <w:rFonts w:ascii="Times New Roman" w:eastAsia="Times New Roman" w:hAnsi="Times New Roman" w:cs="Times New Roman"/>
          <w:bCs/>
          <w:color w:val="002060"/>
          <w:sz w:val="24"/>
          <w:szCs w:val="24"/>
          <w:lang w:val="en-GB" w:eastAsia="el-GR"/>
        </w:rPr>
        <w:t>n</w:t>
      </w:r>
      <w:r w:rsidR="00D44B25">
        <w:rPr>
          <w:rFonts w:ascii="Times New Roman" w:eastAsia="Times New Roman" w:hAnsi="Times New Roman" w:cs="Times New Roman"/>
          <w:bCs/>
          <w:color w:val="002060"/>
          <w:sz w:val="24"/>
          <w:szCs w:val="24"/>
          <w:lang w:val="en-GB" w:eastAsia="el-GR"/>
        </w:rPr>
        <w:t>it</w:t>
      </w:r>
      <w:r w:rsidRPr="00986DAB">
        <w:rPr>
          <w:rFonts w:ascii="Times New Roman" w:eastAsia="Times New Roman" w:hAnsi="Times New Roman" w:cs="Times New Roman"/>
          <w:bCs/>
          <w:color w:val="002060"/>
          <w:sz w:val="24"/>
          <w:szCs w:val="24"/>
          <w:lang w:val="en-GB" w:eastAsia="el-GR"/>
        </w:rPr>
        <w:t>s of JSC "PIRAEUS BANK ICB";</w:t>
      </w:r>
    </w:p>
    <w:p w14:paraId="6010A3F2" w14:textId="77777777" w:rsidR="009C3F50" w:rsidRPr="00986DAB" w:rsidRDefault="009C3F50" w:rsidP="00007E14">
      <w:pPr>
        <w:pStyle w:val="ListParagraph"/>
        <w:numPr>
          <w:ilvl w:val="0"/>
          <w:numId w:val="12"/>
        </w:numPr>
        <w:spacing w:after="0" w:line="240" w:lineRule="auto"/>
        <w:ind w:left="993"/>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the Bank's activities in the field of banking services, including financing corporate clients and SMEs;</w:t>
      </w:r>
    </w:p>
    <w:p w14:paraId="796E616A" w14:textId="77777777" w:rsidR="009C3F50" w:rsidRPr="00986DAB" w:rsidRDefault="009C3F50" w:rsidP="00007E14">
      <w:pPr>
        <w:pStyle w:val="ListParagraph"/>
        <w:numPr>
          <w:ilvl w:val="0"/>
          <w:numId w:val="12"/>
        </w:numPr>
        <w:spacing w:after="0" w:line="240" w:lineRule="auto"/>
        <w:ind w:left="993"/>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processes of identification, assessment, decision-making, conclusion of contracts, monitoring and reporting on ESG risks;</w:t>
      </w:r>
    </w:p>
    <w:p w14:paraId="1A9C0BEF" w14:textId="77777777" w:rsidR="007F3ABB" w:rsidRPr="00986DAB" w:rsidRDefault="009C3F50" w:rsidP="00007E14">
      <w:pPr>
        <w:pStyle w:val="ListParagraph"/>
        <w:numPr>
          <w:ilvl w:val="0"/>
          <w:numId w:val="12"/>
        </w:numPr>
        <w:spacing w:after="0" w:line="240" w:lineRule="auto"/>
        <w:ind w:left="993"/>
        <w:jc w:val="both"/>
        <w:rPr>
          <w:rFonts w:ascii="Times New Roman" w:eastAsia="Times New Roman" w:hAnsi="Times New Roman" w:cs="Times New Roman"/>
          <w:bCs/>
          <w:i/>
          <w:color w:val="002060"/>
          <w:sz w:val="24"/>
          <w:szCs w:val="24"/>
          <w:lang w:val="en-GB" w:eastAsia="el-GR"/>
        </w:rPr>
      </w:pPr>
      <w:proofErr w:type="gramStart"/>
      <w:r w:rsidRPr="00986DAB">
        <w:rPr>
          <w:rFonts w:ascii="Times New Roman" w:eastAsia="Times New Roman" w:hAnsi="Times New Roman" w:cs="Times New Roman"/>
          <w:bCs/>
          <w:color w:val="002060"/>
          <w:sz w:val="24"/>
          <w:szCs w:val="24"/>
          <w:lang w:val="en-GB" w:eastAsia="el-GR"/>
        </w:rPr>
        <w:t>interaction</w:t>
      </w:r>
      <w:proofErr w:type="gramEnd"/>
      <w:r w:rsidRPr="00986DAB">
        <w:rPr>
          <w:rFonts w:ascii="Times New Roman" w:eastAsia="Times New Roman" w:hAnsi="Times New Roman" w:cs="Times New Roman"/>
          <w:bCs/>
          <w:color w:val="002060"/>
          <w:sz w:val="24"/>
          <w:szCs w:val="24"/>
          <w:lang w:val="en-GB" w:eastAsia="el-GR"/>
        </w:rPr>
        <w:t xml:space="preserve"> with clients, partners, government agencies and other stakeholders</w:t>
      </w:r>
      <w:r w:rsidR="009C764B" w:rsidRPr="00986DAB">
        <w:rPr>
          <w:rFonts w:ascii="Times New Roman" w:eastAsia="Times New Roman" w:hAnsi="Times New Roman" w:cs="Times New Roman"/>
          <w:bCs/>
          <w:i/>
          <w:color w:val="002060"/>
          <w:sz w:val="24"/>
          <w:szCs w:val="24"/>
          <w:lang w:val="en-GB" w:eastAsia="el-GR"/>
        </w:rPr>
        <w:t xml:space="preserve">. </w:t>
      </w:r>
    </w:p>
    <w:p w14:paraId="6F827D01" w14:textId="77777777" w:rsidR="009C3F50" w:rsidRPr="00986DAB" w:rsidRDefault="009C764B" w:rsidP="009C3F50">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lastRenderedPageBreak/>
        <w:t xml:space="preserve">1.5. </w:t>
      </w:r>
      <w:r w:rsidR="009C3F50" w:rsidRPr="00986DAB">
        <w:rPr>
          <w:rFonts w:ascii="Times New Roman" w:eastAsia="Times New Roman" w:hAnsi="Times New Roman" w:cs="Times New Roman"/>
          <w:bCs/>
          <w:color w:val="002060"/>
          <w:sz w:val="24"/>
          <w:szCs w:val="24"/>
          <w:lang w:val="en-GB" w:eastAsia="el-GR"/>
        </w:rPr>
        <w:t xml:space="preserve">The policy </w:t>
      </w:r>
      <w:proofErr w:type="gramStart"/>
      <w:r w:rsidR="009C3F50" w:rsidRPr="00986DAB">
        <w:rPr>
          <w:rFonts w:ascii="Times New Roman" w:eastAsia="Times New Roman" w:hAnsi="Times New Roman" w:cs="Times New Roman"/>
          <w:bCs/>
          <w:color w:val="002060"/>
          <w:sz w:val="24"/>
          <w:szCs w:val="24"/>
          <w:lang w:val="en-GB" w:eastAsia="el-GR"/>
        </w:rPr>
        <w:t>has been developed</w:t>
      </w:r>
      <w:proofErr w:type="gramEnd"/>
      <w:r w:rsidR="009C3F50" w:rsidRPr="00986DAB">
        <w:rPr>
          <w:rFonts w:ascii="Times New Roman" w:eastAsia="Times New Roman" w:hAnsi="Times New Roman" w:cs="Times New Roman"/>
          <w:bCs/>
          <w:color w:val="002060"/>
          <w:sz w:val="24"/>
          <w:szCs w:val="24"/>
          <w:lang w:val="en-GB" w:eastAsia="el-GR"/>
        </w:rPr>
        <w:t xml:space="preserve"> taking into account the principle of proportionality – the level of depth of ESG risk assessment depends on the size, complexity, term, industry and potential impact of the project/client.</w:t>
      </w:r>
    </w:p>
    <w:p w14:paraId="7C027D81" w14:textId="77777777" w:rsidR="009C3F50" w:rsidRPr="00986DAB" w:rsidRDefault="009C3F50" w:rsidP="009C3F50">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All Bank employees are required to comply with the provisions of this document within the scope of their job responsibilities.</w:t>
      </w:r>
    </w:p>
    <w:p w14:paraId="0695BEAB" w14:textId="77777777" w:rsidR="009C3F50" w:rsidRPr="00986DAB" w:rsidRDefault="009C3F50" w:rsidP="009C3F50">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The roles, powers and responsibilities for implementing the Policy are set out in the relevant section of this document.</w:t>
      </w:r>
    </w:p>
    <w:p w14:paraId="39C062E3" w14:textId="77777777" w:rsidR="007F3ABB" w:rsidRPr="00986DAB" w:rsidRDefault="009C3F50" w:rsidP="009C3F50">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All updates to the Policy </w:t>
      </w:r>
      <w:proofErr w:type="gramStart"/>
      <w:r w:rsidRPr="00986DAB">
        <w:rPr>
          <w:rFonts w:ascii="Times New Roman" w:eastAsia="Times New Roman" w:hAnsi="Times New Roman" w:cs="Times New Roman"/>
          <w:bCs/>
          <w:color w:val="002060"/>
          <w:sz w:val="24"/>
          <w:szCs w:val="24"/>
          <w:lang w:val="en-GB" w:eastAsia="el-GR"/>
        </w:rPr>
        <w:t>must be agreed in accordance with internal procedures, approved by the Bank's Management Board and approved by the Bank's Supervisory Board</w:t>
      </w:r>
      <w:proofErr w:type="gramEnd"/>
      <w:r w:rsidR="009C764B" w:rsidRPr="00986DAB">
        <w:rPr>
          <w:rFonts w:ascii="Times New Roman" w:hAnsi="Times New Roman" w:cs="Times New Roman"/>
          <w:color w:val="002060"/>
          <w:sz w:val="24"/>
          <w:szCs w:val="24"/>
          <w:lang w:val="en-GB"/>
        </w:rPr>
        <w:t>.</w:t>
      </w:r>
    </w:p>
    <w:p w14:paraId="249E8438" w14:textId="77777777" w:rsidR="007F3ABB" w:rsidRPr="00986DAB" w:rsidRDefault="007F3ABB">
      <w:pPr>
        <w:pStyle w:val="ListParagraph"/>
        <w:spacing w:after="0" w:line="240" w:lineRule="auto"/>
        <w:jc w:val="both"/>
        <w:rPr>
          <w:rFonts w:ascii="Times New Roman" w:hAnsi="Times New Roman" w:cs="Times New Roman"/>
          <w:color w:val="002060"/>
          <w:sz w:val="24"/>
          <w:szCs w:val="24"/>
          <w:lang w:val="en-GB"/>
        </w:rPr>
      </w:pPr>
    </w:p>
    <w:p w14:paraId="70432571" w14:textId="77777777" w:rsidR="007F3ABB" w:rsidRPr="00986DAB" w:rsidRDefault="009C764B" w:rsidP="00EF57B3">
      <w:pPr>
        <w:pStyle w:val="Heading1"/>
        <w:ind w:left="567"/>
        <w:rPr>
          <w:rFonts w:ascii="Times New Roman" w:hAnsi="Times New Roman"/>
          <w:b/>
          <w:lang w:val="en-GB"/>
        </w:rPr>
      </w:pPr>
      <w:bookmarkStart w:id="1" w:name="_Toc216278027"/>
      <w:r w:rsidRPr="00986DAB">
        <w:rPr>
          <w:rFonts w:ascii="Times New Roman" w:hAnsi="Times New Roman"/>
          <w:b/>
          <w:color w:val="002060"/>
          <w:lang w:val="en-GB"/>
        </w:rPr>
        <w:t>2. TERMS AND ABBREVIATIONS</w:t>
      </w:r>
      <w:bookmarkEnd w:id="1"/>
      <w:r w:rsidRPr="00986DAB">
        <w:rPr>
          <w:rFonts w:ascii="Times New Roman" w:hAnsi="Times New Roman"/>
          <w:b/>
          <w:lang w:val="en-GB"/>
        </w:rPr>
        <w:t xml:space="preserve"> </w:t>
      </w:r>
    </w:p>
    <w:p w14:paraId="5B005CBB" w14:textId="77777777" w:rsidR="0029305A" w:rsidRPr="00986DAB" w:rsidRDefault="00590381" w:rsidP="00007E14">
      <w:pPr>
        <w:spacing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In this Policy, </w:t>
      </w:r>
      <w:r w:rsidR="009C764B" w:rsidRPr="00986DAB">
        <w:rPr>
          <w:rFonts w:ascii="Times New Roman" w:eastAsia="Times New Roman" w:hAnsi="Times New Roman" w:cs="Times New Roman"/>
          <w:bCs/>
          <w:color w:val="002060"/>
          <w:sz w:val="24"/>
          <w:szCs w:val="24"/>
          <w:lang w:val="en-GB" w:eastAsia="el-GR"/>
        </w:rPr>
        <w:t xml:space="preserve">the terms and abbreviations </w:t>
      </w:r>
      <w:proofErr w:type="gramStart"/>
      <w:r w:rsidR="009C764B" w:rsidRPr="00986DAB">
        <w:rPr>
          <w:rFonts w:ascii="Times New Roman" w:eastAsia="Times New Roman" w:hAnsi="Times New Roman" w:cs="Times New Roman"/>
          <w:bCs/>
          <w:color w:val="002060"/>
          <w:sz w:val="24"/>
          <w:szCs w:val="24"/>
          <w:lang w:val="en-GB" w:eastAsia="el-GR"/>
        </w:rPr>
        <w:t>are used</w:t>
      </w:r>
      <w:proofErr w:type="gramEnd"/>
      <w:r w:rsidR="009C764B" w:rsidRPr="00986DAB">
        <w:rPr>
          <w:rFonts w:ascii="Times New Roman" w:eastAsia="Times New Roman" w:hAnsi="Times New Roman" w:cs="Times New Roman"/>
          <w:bCs/>
          <w:color w:val="002060"/>
          <w:sz w:val="24"/>
          <w:szCs w:val="24"/>
          <w:lang w:val="en-GB" w:eastAsia="el-GR"/>
        </w:rPr>
        <w:t xml:space="preserve"> in the following meanings: </w:t>
      </w:r>
    </w:p>
    <w:p w14:paraId="05CC8495" w14:textId="541C6361" w:rsidR="00645897" w:rsidRPr="00986DAB" w:rsidRDefault="00645897" w:rsidP="00645897">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Bank </w:t>
      </w:r>
      <w:r w:rsidRPr="00986DAB">
        <w:rPr>
          <w:rFonts w:ascii="Times New Roman" w:eastAsia="Times New Roman" w:hAnsi="Times New Roman" w:cs="Times New Roman"/>
          <w:bCs/>
          <w:color w:val="002060"/>
          <w:sz w:val="24"/>
          <w:szCs w:val="24"/>
          <w:lang w:val="en-GB" w:eastAsia="el-GR"/>
        </w:rPr>
        <w:t>– JOINT STOCK COMPANY "PIRAEUS BANK ICB</w:t>
      </w:r>
      <w:r w:rsidR="0046178D" w:rsidRPr="00986DAB">
        <w:rPr>
          <w:rFonts w:ascii="Times New Roman" w:eastAsia="Times New Roman" w:hAnsi="Times New Roman" w:cs="Times New Roman"/>
          <w:bCs/>
          <w:color w:val="002060"/>
          <w:sz w:val="24"/>
          <w:szCs w:val="24"/>
          <w:lang w:val="en-GB" w:eastAsia="el-GR"/>
        </w:rPr>
        <w:t>".</w:t>
      </w:r>
    </w:p>
    <w:p w14:paraId="35C590F6" w14:textId="606E83F8" w:rsidR="0046178D" w:rsidRPr="00986DAB" w:rsidRDefault="0046178D" w:rsidP="00645897">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Group </w:t>
      </w:r>
      <w:r w:rsidR="004B3E80">
        <w:rPr>
          <w:rFonts w:ascii="Times New Roman" w:eastAsia="Times New Roman" w:hAnsi="Times New Roman" w:cs="Times New Roman"/>
          <w:bCs/>
          <w:color w:val="002060"/>
          <w:sz w:val="24"/>
          <w:szCs w:val="24"/>
          <w:lang w:val="en-GB" w:eastAsia="el-GR"/>
        </w:rPr>
        <w:t>– Piraeus Bank S.A</w:t>
      </w:r>
      <w:r w:rsidRPr="00986DAB">
        <w:rPr>
          <w:rFonts w:ascii="Times New Roman" w:eastAsia="Times New Roman" w:hAnsi="Times New Roman" w:cs="Times New Roman"/>
          <w:bCs/>
          <w:color w:val="002060"/>
          <w:sz w:val="24"/>
          <w:szCs w:val="24"/>
          <w:lang w:val="en-GB" w:eastAsia="el-GR"/>
        </w:rPr>
        <w:t>.</w:t>
      </w:r>
    </w:p>
    <w:p w14:paraId="050A2E7A" w14:textId="35543D91" w:rsidR="00360EF1" w:rsidRPr="00986DAB" w:rsidRDefault="00360EF1">
      <w:pPr>
        <w:spacing w:after="0" w:line="240" w:lineRule="auto"/>
        <w:ind w:firstLine="567"/>
        <w:jc w:val="both"/>
        <w:rPr>
          <w:rFonts w:ascii="Times New Roman" w:eastAsia="Times New Roman" w:hAnsi="Times New Roman" w:cs="Times New Roman"/>
          <w:b/>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EBRD – </w:t>
      </w:r>
      <w:r w:rsidRPr="00986DAB">
        <w:rPr>
          <w:rFonts w:ascii="Times New Roman" w:eastAsia="Times New Roman" w:hAnsi="Times New Roman" w:cs="Times New Roman"/>
          <w:bCs/>
          <w:color w:val="002060"/>
          <w:sz w:val="24"/>
          <w:szCs w:val="24"/>
          <w:lang w:val="en-GB" w:eastAsia="el-GR"/>
        </w:rPr>
        <w:t>European Bank for Reconstruction and Development</w:t>
      </w:r>
      <w:r w:rsidR="0046178D" w:rsidRPr="00986DAB">
        <w:rPr>
          <w:rFonts w:ascii="Times New Roman" w:eastAsia="Times New Roman" w:hAnsi="Times New Roman" w:cs="Times New Roman"/>
          <w:bCs/>
          <w:color w:val="002060"/>
          <w:sz w:val="24"/>
          <w:szCs w:val="24"/>
          <w:lang w:val="en-GB" w:eastAsia="el-GR"/>
        </w:rPr>
        <w:t>.</w:t>
      </w:r>
    </w:p>
    <w:p w14:paraId="1206F756" w14:textId="32D93CF4" w:rsidR="00F7043C" w:rsidRPr="00986DAB" w:rsidRDefault="00F7043C">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EU </w:t>
      </w:r>
      <w:r w:rsidRPr="00986DAB">
        <w:rPr>
          <w:rFonts w:ascii="Times New Roman" w:eastAsia="Times New Roman" w:hAnsi="Times New Roman" w:cs="Times New Roman"/>
          <w:bCs/>
          <w:color w:val="002060"/>
          <w:sz w:val="24"/>
          <w:szCs w:val="24"/>
          <w:lang w:val="en-GB" w:eastAsia="el-GR"/>
        </w:rPr>
        <w:t>– European Union</w:t>
      </w:r>
      <w:r w:rsidR="0046178D" w:rsidRPr="00986DAB">
        <w:rPr>
          <w:rFonts w:ascii="Times New Roman" w:eastAsia="Times New Roman" w:hAnsi="Times New Roman" w:cs="Times New Roman"/>
          <w:bCs/>
          <w:color w:val="002060"/>
          <w:sz w:val="24"/>
          <w:szCs w:val="24"/>
          <w:lang w:val="en-GB" w:eastAsia="el-GR"/>
        </w:rPr>
        <w:t>.</w:t>
      </w:r>
    </w:p>
    <w:p w14:paraId="304B625A" w14:textId="195C83C2" w:rsidR="00F7043C" w:rsidRPr="00986DAB" w:rsidRDefault="00F7043C">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SMEs </w:t>
      </w:r>
      <w:r w:rsidR="00294AA0">
        <w:rPr>
          <w:rFonts w:ascii="Times New Roman" w:eastAsia="Times New Roman" w:hAnsi="Times New Roman" w:cs="Times New Roman"/>
          <w:bCs/>
          <w:color w:val="002060"/>
          <w:sz w:val="24"/>
          <w:szCs w:val="24"/>
          <w:lang w:val="en-GB" w:eastAsia="el-GR"/>
        </w:rPr>
        <w:t>– Small and Medium-sized E</w:t>
      </w:r>
      <w:r w:rsidRPr="00986DAB">
        <w:rPr>
          <w:rFonts w:ascii="Times New Roman" w:eastAsia="Times New Roman" w:hAnsi="Times New Roman" w:cs="Times New Roman"/>
          <w:bCs/>
          <w:color w:val="002060"/>
          <w:sz w:val="24"/>
          <w:szCs w:val="24"/>
          <w:lang w:val="en-GB" w:eastAsia="el-GR"/>
        </w:rPr>
        <w:t>nterprises</w:t>
      </w:r>
      <w:r w:rsidR="0046178D" w:rsidRPr="00986DAB">
        <w:rPr>
          <w:rFonts w:ascii="Times New Roman" w:eastAsia="Times New Roman" w:hAnsi="Times New Roman" w:cs="Times New Roman"/>
          <w:bCs/>
          <w:color w:val="002060"/>
          <w:sz w:val="24"/>
          <w:szCs w:val="24"/>
          <w:lang w:val="en-GB" w:eastAsia="el-GR"/>
        </w:rPr>
        <w:t>.</w:t>
      </w:r>
    </w:p>
    <w:p w14:paraId="75A567AE" w14:textId="004A5C08" w:rsidR="00360EF1" w:rsidRPr="00986DAB" w:rsidRDefault="00360EF1">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IFC – </w:t>
      </w:r>
      <w:r w:rsidRPr="00986DAB">
        <w:rPr>
          <w:rFonts w:ascii="Times New Roman" w:eastAsia="Times New Roman" w:hAnsi="Times New Roman" w:cs="Times New Roman"/>
          <w:bCs/>
          <w:color w:val="002060"/>
          <w:sz w:val="24"/>
          <w:szCs w:val="24"/>
          <w:lang w:val="en-GB" w:eastAsia="el-GR"/>
        </w:rPr>
        <w:t>International Finance Corporation</w:t>
      </w:r>
      <w:r w:rsidR="0046178D" w:rsidRPr="00986DAB">
        <w:rPr>
          <w:rFonts w:ascii="Times New Roman" w:eastAsia="Times New Roman" w:hAnsi="Times New Roman" w:cs="Times New Roman"/>
          <w:bCs/>
          <w:color w:val="002060"/>
          <w:sz w:val="24"/>
          <w:szCs w:val="24"/>
          <w:lang w:val="en-GB" w:eastAsia="el-GR"/>
        </w:rPr>
        <w:t>.</w:t>
      </w:r>
    </w:p>
    <w:p w14:paraId="5708F4CE" w14:textId="665FC8AA" w:rsidR="00F7043C" w:rsidRPr="00986DAB" w:rsidRDefault="00F7043C">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NGOs </w:t>
      </w:r>
      <w:r w:rsidRPr="00986DAB">
        <w:rPr>
          <w:rFonts w:ascii="Times New Roman" w:eastAsia="Times New Roman" w:hAnsi="Times New Roman" w:cs="Times New Roman"/>
          <w:bCs/>
          <w:color w:val="002060"/>
          <w:sz w:val="24"/>
          <w:szCs w:val="24"/>
          <w:lang w:val="en-GB" w:eastAsia="el-GR"/>
        </w:rPr>
        <w:t>– Non-governmental organisations</w:t>
      </w:r>
      <w:r w:rsidR="0046178D" w:rsidRPr="00986DAB">
        <w:rPr>
          <w:rFonts w:ascii="Times New Roman" w:eastAsia="Times New Roman" w:hAnsi="Times New Roman" w:cs="Times New Roman"/>
          <w:bCs/>
          <w:color w:val="002060"/>
          <w:sz w:val="24"/>
          <w:szCs w:val="24"/>
          <w:lang w:val="en-GB" w:eastAsia="el-GR"/>
        </w:rPr>
        <w:t>.</w:t>
      </w:r>
    </w:p>
    <w:p w14:paraId="0DA46213" w14:textId="49CEC859" w:rsidR="00F7043C" w:rsidRPr="00986DAB" w:rsidRDefault="00F7043C">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Framework agreement </w:t>
      </w:r>
      <w:r w:rsidR="004B3E80">
        <w:rPr>
          <w:rFonts w:ascii="Times New Roman" w:eastAsia="Times New Roman" w:hAnsi="Times New Roman" w:cs="Times New Roman"/>
          <w:bCs/>
          <w:color w:val="002060"/>
          <w:sz w:val="24"/>
          <w:szCs w:val="24"/>
          <w:lang w:val="en-GB" w:eastAsia="el-GR"/>
        </w:rPr>
        <w:t xml:space="preserve">– </w:t>
      </w:r>
      <w:r w:rsidRPr="00986DAB">
        <w:rPr>
          <w:rFonts w:ascii="Times New Roman" w:eastAsia="Times New Roman" w:hAnsi="Times New Roman" w:cs="Times New Roman"/>
          <w:bCs/>
          <w:color w:val="002060"/>
          <w:sz w:val="24"/>
          <w:szCs w:val="24"/>
          <w:lang w:val="en-GB" w:eastAsia="el-GR"/>
        </w:rPr>
        <w:t xml:space="preserve">agreement between two parties that recognises that the parties have not reached final agreement on all issues relating to their relationship, but have reached agreement on issues sufficient to develop the relationship, with further details to </w:t>
      </w:r>
      <w:proofErr w:type="gramStart"/>
      <w:r w:rsidRPr="00986DAB">
        <w:rPr>
          <w:rFonts w:ascii="Times New Roman" w:eastAsia="Times New Roman" w:hAnsi="Times New Roman" w:cs="Times New Roman"/>
          <w:bCs/>
          <w:color w:val="002060"/>
          <w:sz w:val="24"/>
          <w:szCs w:val="24"/>
          <w:lang w:val="en-GB" w:eastAsia="el-GR"/>
        </w:rPr>
        <w:t>be agreed</w:t>
      </w:r>
      <w:proofErr w:type="gramEnd"/>
      <w:r w:rsidRPr="00986DAB">
        <w:rPr>
          <w:rFonts w:ascii="Times New Roman" w:eastAsia="Times New Roman" w:hAnsi="Times New Roman" w:cs="Times New Roman"/>
          <w:bCs/>
          <w:color w:val="002060"/>
          <w:sz w:val="24"/>
          <w:szCs w:val="24"/>
          <w:lang w:val="en-GB" w:eastAsia="el-GR"/>
        </w:rPr>
        <w:t xml:space="preserve"> in the future.</w:t>
      </w:r>
    </w:p>
    <w:p w14:paraId="76532134" w14:textId="1F55C0D4" w:rsidR="0029305A" w:rsidRPr="00986DAB" w:rsidRDefault="00F7043C">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Regulator / NBU – </w:t>
      </w:r>
      <w:r w:rsidRPr="00986DAB">
        <w:rPr>
          <w:rFonts w:ascii="Times New Roman" w:eastAsia="Times New Roman" w:hAnsi="Times New Roman" w:cs="Times New Roman"/>
          <w:bCs/>
          <w:color w:val="002060"/>
          <w:sz w:val="24"/>
          <w:szCs w:val="24"/>
          <w:lang w:val="en-GB" w:eastAsia="el-GR"/>
        </w:rPr>
        <w:t>National Bank of Ukraine</w:t>
      </w:r>
      <w:r w:rsidR="0046178D" w:rsidRPr="00986DAB">
        <w:rPr>
          <w:rFonts w:ascii="Times New Roman" w:eastAsia="Times New Roman" w:hAnsi="Times New Roman" w:cs="Times New Roman"/>
          <w:bCs/>
          <w:color w:val="002060"/>
          <w:sz w:val="24"/>
          <w:szCs w:val="24"/>
          <w:lang w:val="en-GB" w:eastAsia="el-GR"/>
        </w:rPr>
        <w:t>.</w:t>
      </w:r>
    </w:p>
    <w:p w14:paraId="6E2DD1D5" w14:textId="572F5B1C" w:rsidR="00F7043C" w:rsidRPr="00986DAB" w:rsidRDefault="00F7043C">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ESMS </w:t>
      </w:r>
      <w:r w:rsidRPr="00986DAB">
        <w:rPr>
          <w:rFonts w:ascii="Times New Roman" w:eastAsia="Times New Roman" w:hAnsi="Times New Roman" w:cs="Times New Roman"/>
          <w:bCs/>
          <w:color w:val="002060"/>
          <w:sz w:val="24"/>
          <w:szCs w:val="24"/>
          <w:lang w:val="en-GB" w:eastAsia="el-GR"/>
        </w:rPr>
        <w:t>– Environmental, Social and Governance Management System</w:t>
      </w:r>
      <w:r w:rsidR="0046178D" w:rsidRPr="00986DAB">
        <w:rPr>
          <w:rFonts w:ascii="Times New Roman" w:eastAsia="Times New Roman" w:hAnsi="Times New Roman" w:cs="Times New Roman"/>
          <w:bCs/>
          <w:color w:val="002060"/>
          <w:sz w:val="24"/>
          <w:szCs w:val="24"/>
          <w:lang w:val="en-GB" w:eastAsia="el-GR"/>
        </w:rPr>
        <w:t>.</w:t>
      </w:r>
    </w:p>
    <w:p w14:paraId="6ED7C1A7" w14:textId="77777777" w:rsidR="00F7043C" w:rsidRPr="00986DAB" w:rsidRDefault="00F7043C" w:rsidP="00F7043C">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Green banking specialist </w:t>
      </w:r>
      <w:r w:rsidRPr="00986DAB">
        <w:rPr>
          <w:rFonts w:ascii="Times New Roman" w:eastAsia="Times New Roman" w:hAnsi="Times New Roman" w:cs="Times New Roman"/>
          <w:bCs/>
          <w:color w:val="002060"/>
          <w:sz w:val="24"/>
          <w:szCs w:val="24"/>
          <w:lang w:val="en-GB" w:eastAsia="el-GR"/>
        </w:rPr>
        <w:t>– a specialist well versed in assessing and monitoring environmental risks, developing green products, as well as developing environmentally friendly products and measures to improve operational activities in order to reduce resource consumption.</w:t>
      </w:r>
    </w:p>
    <w:p w14:paraId="662D0573" w14:textId="7543CB51" w:rsidR="00F7043C" w:rsidRPr="00986DAB" w:rsidRDefault="00F7043C" w:rsidP="00F7043C">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FA </w:t>
      </w:r>
      <w:r w:rsidRPr="00986DAB">
        <w:rPr>
          <w:rFonts w:ascii="Times New Roman" w:eastAsia="Times New Roman" w:hAnsi="Times New Roman" w:cs="Times New Roman"/>
          <w:bCs/>
          <w:color w:val="002060"/>
          <w:sz w:val="24"/>
          <w:szCs w:val="24"/>
          <w:lang w:val="en-GB" w:eastAsia="el-GR"/>
        </w:rPr>
        <w:t xml:space="preserve">– Financial Analyst, Financial Analysis </w:t>
      </w:r>
      <w:r w:rsidR="00935B77">
        <w:rPr>
          <w:rFonts w:ascii="Times New Roman" w:eastAsia="Times New Roman" w:hAnsi="Times New Roman" w:cs="Times New Roman"/>
          <w:bCs/>
          <w:color w:val="002060"/>
          <w:sz w:val="24"/>
          <w:szCs w:val="24"/>
          <w:lang w:val="en-GB" w:eastAsia="el-GR"/>
        </w:rPr>
        <w:t>Division</w:t>
      </w:r>
      <w:r w:rsidR="0046178D" w:rsidRPr="00986DAB">
        <w:rPr>
          <w:rFonts w:ascii="Times New Roman" w:eastAsia="Times New Roman" w:hAnsi="Times New Roman" w:cs="Times New Roman"/>
          <w:bCs/>
          <w:color w:val="002060"/>
          <w:sz w:val="24"/>
          <w:szCs w:val="24"/>
          <w:lang w:val="en-GB" w:eastAsia="el-GR"/>
        </w:rPr>
        <w:t>.</w:t>
      </w:r>
    </w:p>
    <w:p w14:paraId="4B81FBCA" w14:textId="68861C3A" w:rsidR="00360EF1" w:rsidRPr="00986DAB" w:rsidRDefault="00294AA0" w:rsidP="00F7043C">
      <w:pPr>
        <w:spacing w:after="0" w:line="240" w:lineRule="auto"/>
        <w:ind w:firstLine="567"/>
        <w:jc w:val="both"/>
        <w:rPr>
          <w:rFonts w:ascii="Times New Roman" w:eastAsia="Times New Roman" w:hAnsi="Times New Roman" w:cs="Times New Roman"/>
          <w:bCs/>
          <w:color w:val="002060"/>
          <w:sz w:val="24"/>
          <w:szCs w:val="24"/>
          <w:lang w:val="en-GB" w:eastAsia="el-GR"/>
        </w:rPr>
      </w:pPr>
      <w:r>
        <w:rPr>
          <w:rFonts w:ascii="Times New Roman" w:eastAsia="Times New Roman" w:hAnsi="Times New Roman" w:cs="Times New Roman"/>
          <w:b/>
          <w:bCs/>
          <w:color w:val="002060"/>
          <w:sz w:val="24"/>
          <w:szCs w:val="24"/>
          <w:lang w:val="en-GB" w:eastAsia="el-GR"/>
        </w:rPr>
        <w:t>BDF</w:t>
      </w:r>
      <w:r w:rsidR="00360EF1" w:rsidRPr="00986DAB">
        <w:rPr>
          <w:rFonts w:ascii="Times New Roman" w:eastAsia="Times New Roman" w:hAnsi="Times New Roman" w:cs="Times New Roman"/>
          <w:b/>
          <w:bCs/>
          <w:color w:val="002060"/>
          <w:sz w:val="24"/>
          <w:szCs w:val="24"/>
          <w:lang w:val="en-GB" w:eastAsia="el-GR"/>
        </w:rPr>
        <w:t xml:space="preserve"> </w:t>
      </w:r>
      <w:r w:rsidR="00360EF1" w:rsidRPr="00986DAB">
        <w:rPr>
          <w:rFonts w:ascii="Times New Roman" w:eastAsia="Times New Roman" w:hAnsi="Times New Roman" w:cs="Times New Roman"/>
          <w:bCs/>
          <w:color w:val="002060"/>
          <w:sz w:val="24"/>
          <w:szCs w:val="24"/>
          <w:lang w:val="en-GB" w:eastAsia="el-GR"/>
        </w:rPr>
        <w:t xml:space="preserve">– </w:t>
      </w:r>
      <w:r>
        <w:rPr>
          <w:rFonts w:ascii="Times New Roman" w:eastAsia="Times New Roman" w:hAnsi="Times New Roman" w:cs="Times New Roman"/>
          <w:bCs/>
          <w:color w:val="002060"/>
          <w:sz w:val="24"/>
          <w:szCs w:val="24"/>
          <w:lang w:val="en-GB" w:eastAsia="el-GR"/>
        </w:rPr>
        <w:t>Business</w:t>
      </w:r>
      <w:r w:rsidR="00360EF1" w:rsidRPr="00986DAB">
        <w:rPr>
          <w:rFonts w:ascii="Times New Roman" w:eastAsia="Times New Roman" w:hAnsi="Times New Roman" w:cs="Times New Roman"/>
          <w:bCs/>
          <w:color w:val="002060"/>
          <w:sz w:val="24"/>
          <w:szCs w:val="24"/>
          <w:lang w:val="en-GB" w:eastAsia="el-GR"/>
        </w:rPr>
        <w:t xml:space="preserve"> Development Fund</w:t>
      </w:r>
      <w:r w:rsidR="0046178D" w:rsidRPr="00986DAB">
        <w:rPr>
          <w:rFonts w:ascii="Times New Roman" w:eastAsia="Times New Roman" w:hAnsi="Times New Roman" w:cs="Times New Roman"/>
          <w:bCs/>
          <w:color w:val="002060"/>
          <w:sz w:val="24"/>
          <w:szCs w:val="24"/>
          <w:lang w:val="en-GB" w:eastAsia="el-GR"/>
        </w:rPr>
        <w:t>.</w:t>
      </w:r>
    </w:p>
    <w:p w14:paraId="38B07E46" w14:textId="7A89CD4C" w:rsidR="0046178D" w:rsidRPr="00986DAB" w:rsidRDefault="0046178D" w:rsidP="0046178D">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CRO </w:t>
      </w:r>
      <w:r w:rsidRPr="00986DAB">
        <w:rPr>
          <w:rFonts w:ascii="Times New Roman" w:eastAsia="Times New Roman" w:hAnsi="Times New Roman" w:cs="Times New Roman"/>
          <w:bCs/>
          <w:color w:val="002060"/>
          <w:sz w:val="24"/>
          <w:szCs w:val="24"/>
          <w:lang w:val="en-GB" w:eastAsia="el-GR"/>
        </w:rPr>
        <w:t>- Chief Risk Officer of the Bank - a bank official responsible for risk management.</w:t>
      </w:r>
    </w:p>
    <w:p w14:paraId="65E904B1" w14:textId="0867D4D5" w:rsidR="0046178D" w:rsidRPr="00986DAB" w:rsidRDefault="0046178D" w:rsidP="0046178D">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ESG </w:t>
      </w:r>
      <w:r w:rsidRPr="00986DAB">
        <w:rPr>
          <w:rFonts w:ascii="Times New Roman" w:eastAsia="Times New Roman" w:hAnsi="Times New Roman" w:cs="Times New Roman"/>
          <w:bCs/>
          <w:color w:val="002060"/>
          <w:sz w:val="24"/>
          <w:szCs w:val="24"/>
          <w:lang w:val="en-GB" w:eastAsia="el-GR"/>
        </w:rPr>
        <w:t>– Environmental, Social, Governance – environmental, social and corporate criteria for assessing business management.</w:t>
      </w:r>
    </w:p>
    <w:p w14:paraId="59BBCCE9" w14:textId="6CA3A0D5" w:rsidR="0046178D" w:rsidRPr="00986DAB" w:rsidRDefault="0046178D" w:rsidP="0046178D">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FiM </w:t>
      </w:r>
      <w:r w:rsidRPr="00986DAB">
        <w:rPr>
          <w:rFonts w:ascii="Times New Roman" w:eastAsia="Times New Roman" w:hAnsi="Times New Roman" w:cs="Times New Roman"/>
          <w:bCs/>
          <w:color w:val="002060"/>
          <w:sz w:val="24"/>
          <w:szCs w:val="24"/>
          <w:lang w:val="en-GB" w:eastAsia="el-GR"/>
        </w:rPr>
        <w:t>- Finance in Motion.</w:t>
      </w:r>
    </w:p>
    <w:p w14:paraId="22B7AB2A" w14:textId="384F29CE" w:rsidR="0046178D" w:rsidRPr="00986DAB" w:rsidRDefault="0046178D" w:rsidP="0046178D">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 xml:space="preserve">KYC </w:t>
      </w:r>
      <w:r w:rsidRPr="00986DAB">
        <w:rPr>
          <w:rFonts w:ascii="Times New Roman" w:eastAsia="Times New Roman" w:hAnsi="Times New Roman" w:cs="Times New Roman"/>
          <w:bCs/>
          <w:color w:val="002060"/>
          <w:sz w:val="24"/>
          <w:szCs w:val="24"/>
          <w:lang w:val="en-GB" w:eastAsia="el-GR"/>
        </w:rPr>
        <w:t>– Know Your Client.</w:t>
      </w:r>
    </w:p>
    <w:p w14:paraId="6836E843" w14:textId="77777777" w:rsidR="007F3ABB" w:rsidRPr="00986DAB" w:rsidRDefault="007F3ABB" w:rsidP="00F7043C">
      <w:pPr>
        <w:spacing w:after="0" w:line="240" w:lineRule="auto"/>
        <w:jc w:val="both"/>
        <w:rPr>
          <w:rFonts w:ascii="Times New Roman" w:eastAsia="Times New Roman" w:hAnsi="Times New Roman" w:cs="Times New Roman"/>
          <w:bCs/>
          <w:i/>
          <w:color w:val="002060"/>
          <w:sz w:val="24"/>
          <w:szCs w:val="24"/>
          <w:lang w:val="en-GB" w:eastAsia="el-GR"/>
        </w:rPr>
      </w:pPr>
    </w:p>
    <w:p w14:paraId="1D794A3A" w14:textId="5C384E2B" w:rsidR="00CB33B4" w:rsidRPr="00986DAB" w:rsidRDefault="009C764B" w:rsidP="004B3E80">
      <w:pPr>
        <w:pStyle w:val="Heading1"/>
        <w:ind w:left="567"/>
        <w:jc w:val="both"/>
        <w:rPr>
          <w:rFonts w:ascii="Times New Roman" w:hAnsi="Times New Roman"/>
          <w:b/>
          <w:color w:val="002060"/>
          <w:lang w:val="en-GB"/>
        </w:rPr>
      </w:pPr>
      <w:bookmarkStart w:id="2" w:name="_Toc216278028"/>
      <w:r w:rsidRPr="00986DAB">
        <w:rPr>
          <w:rFonts w:ascii="Times New Roman" w:hAnsi="Times New Roman"/>
          <w:b/>
          <w:color w:val="002060"/>
          <w:lang w:val="en-GB"/>
        </w:rPr>
        <w:t xml:space="preserve">3. </w:t>
      </w:r>
      <w:r w:rsidR="004B3E80">
        <w:rPr>
          <w:rFonts w:ascii="Times New Roman" w:hAnsi="Times New Roman"/>
          <w:b/>
          <w:color w:val="002060"/>
          <w:lang w:val="en-GB"/>
        </w:rPr>
        <w:t xml:space="preserve">MAIN PART. </w:t>
      </w:r>
      <w:r w:rsidR="00CB33B4" w:rsidRPr="00986DAB">
        <w:rPr>
          <w:rFonts w:ascii="Times New Roman" w:hAnsi="Times New Roman"/>
          <w:b/>
          <w:color w:val="002060"/>
          <w:lang w:val="en-GB"/>
        </w:rPr>
        <w:t>ENVIRONMENTAL, SOCIAL AND GOVERNANCE MANAGEMENT SYSTEM</w:t>
      </w:r>
      <w:bookmarkEnd w:id="2"/>
    </w:p>
    <w:p w14:paraId="51215E86" w14:textId="0AABC249"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The environmental, social and governance management system</w:t>
      </w:r>
      <w:r w:rsidR="004B3E80">
        <w:rPr>
          <w:rFonts w:ascii="Times New Roman" w:eastAsia="Times New Roman" w:hAnsi="Times New Roman" w:cs="Times New Roman"/>
          <w:bCs/>
          <w:color w:val="002060"/>
          <w:sz w:val="24"/>
          <w:szCs w:val="24"/>
          <w:lang w:val="en-GB" w:eastAsia="el-GR"/>
        </w:rPr>
        <w:t xml:space="preserve"> (hereinafter referred to as ESMS</w:t>
      </w:r>
      <w:r w:rsidRPr="00986DAB">
        <w:rPr>
          <w:rFonts w:ascii="Times New Roman" w:eastAsia="Times New Roman" w:hAnsi="Times New Roman" w:cs="Times New Roman"/>
          <w:bCs/>
          <w:color w:val="002060"/>
          <w:sz w:val="24"/>
          <w:szCs w:val="24"/>
          <w:lang w:val="en-GB" w:eastAsia="el-GR"/>
        </w:rPr>
        <w:t>) is a dual mechanism that integrates, on the one hand, environmental, social and governance aspects into the Bank's activities and, on the other hand, ESG risk management into business processes. The latter involves a set of actions and procedures that are included in the Bank's existing financial procedures.</w:t>
      </w:r>
    </w:p>
    <w:p w14:paraId="08341127" w14:textId="5B6F5F3D" w:rsidR="00CB33B4" w:rsidRPr="00986DAB" w:rsidRDefault="004B3E80"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Pr>
          <w:rFonts w:ascii="Times New Roman" w:eastAsia="Times New Roman" w:hAnsi="Times New Roman" w:cs="Times New Roman"/>
          <w:bCs/>
          <w:color w:val="002060"/>
          <w:sz w:val="24"/>
          <w:szCs w:val="24"/>
          <w:lang w:val="en-GB" w:eastAsia="el-GR"/>
        </w:rPr>
        <w:t>ESMS</w:t>
      </w:r>
      <w:r w:rsidR="00CB33B4" w:rsidRPr="00986DAB">
        <w:rPr>
          <w:rFonts w:ascii="Times New Roman" w:eastAsia="Times New Roman" w:hAnsi="Times New Roman" w:cs="Times New Roman"/>
          <w:bCs/>
          <w:color w:val="002060"/>
          <w:sz w:val="24"/>
          <w:szCs w:val="24"/>
          <w:lang w:val="en-GB" w:eastAsia="el-GR"/>
        </w:rPr>
        <w:t xml:space="preserve"> ensures that the </w:t>
      </w:r>
      <w:r w:rsidR="001A73D9" w:rsidRPr="00986DAB">
        <w:rPr>
          <w:rFonts w:ascii="Times New Roman" w:eastAsia="Times New Roman" w:hAnsi="Times New Roman" w:cs="Times New Roman"/>
          <w:bCs/>
          <w:color w:val="002060"/>
          <w:sz w:val="24"/>
          <w:szCs w:val="24"/>
          <w:lang w:val="en-GB" w:eastAsia="el-GR"/>
        </w:rPr>
        <w:t>Bank's</w:t>
      </w:r>
      <w:r w:rsidR="00CB33B4" w:rsidRPr="00986DAB">
        <w:rPr>
          <w:rFonts w:ascii="Times New Roman" w:eastAsia="Times New Roman" w:hAnsi="Times New Roman" w:cs="Times New Roman"/>
          <w:bCs/>
          <w:color w:val="002060"/>
          <w:sz w:val="24"/>
          <w:szCs w:val="24"/>
          <w:lang w:val="en-GB" w:eastAsia="el-GR"/>
        </w:rPr>
        <w:t xml:space="preserve"> internal operations and </w:t>
      </w:r>
      <w:r w:rsidR="001A73D9" w:rsidRPr="00986DAB">
        <w:rPr>
          <w:rFonts w:ascii="Times New Roman" w:eastAsia="Times New Roman" w:hAnsi="Times New Roman" w:cs="Times New Roman"/>
          <w:bCs/>
          <w:color w:val="002060"/>
          <w:sz w:val="24"/>
          <w:szCs w:val="24"/>
          <w:lang w:val="en-GB" w:eastAsia="el-GR"/>
        </w:rPr>
        <w:t xml:space="preserve">lending activities </w:t>
      </w:r>
      <w:r w:rsidR="00CB33B4" w:rsidRPr="00986DAB">
        <w:rPr>
          <w:rFonts w:ascii="Times New Roman" w:eastAsia="Times New Roman" w:hAnsi="Times New Roman" w:cs="Times New Roman"/>
          <w:bCs/>
          <w:color w:val="002060"/>
          <w:sz w:val="24"/>
          <w:szCs w:val="24"/>
          <w:lang w:val="en-GB" w:eastAsia="el-GR"/>
        </w:rPr>
        <w:t xml:space="preserve">comply with </w:t>
      </w:r>
      <w:r w:rsidR="001A73D9" w:rsidRPr="00986DAB">
        <w:rPr>
          <w:rFonts w:ascii="Times New Roman" w:eastAsia="Times New Roman" w:hAnsi="Times New Roman" w:cs="Times New Roman"/>
          <w:bCs/>
          <w:color w:val="002060"/>
          <w:sz w:val="24"/>
          <w:szCs w:val="24"/>
          <w:lang w:val="en-GB" w:eastAsia="el-GR"/>
        </w:rPr>
        <w:t xml:space="preserve">this Policy </w:t>
      </w:r>
      <w:r w:rsidR="00CB33B4" w:rsidRPr="00986DAB">
        <w:rPr>
          <w:rFonts w:ascii="Times New Roman" w:eastAsia="Times New Roman" w:hAnsi="Times New Roman" w:cs="Times New Roman"/>
          <w:bCs/>
          <w:color w:val="002060"/>
          <w:sz w:val="24"/>
          <w:szCs w:val="24"/>
          <w:lang w:val="en-GB" w:eastAsia="el-GR"/>
        </w:rPr>
        <w:t xml:space="preserve">and the requirements of Ukrainian legislation. The Bank </w:t>
      </w:r>
      <w:r w:rsidR="00CE1252" w:rsidRPr="00986DAB">
        <w:rPr>
          <w:rFonts w:ascii="Times New Roman" w:eastAsia="Times New Roman" w:hAnsi="Times New Roman" w:cs="Times New Roman"/>
          <w:bCs/>
          <w:color w:val="002060"/>
          <w:sz w:val="24"/>
          <w:szCs w:val="24"/>
          <w:lang w:val="en-GB" w:eastAsia="el-GR"/>
        </w:rPr>
        <w:t xml:space="preserve">must </w:t>
      </w:r>
      <w:r w:rsidR="00CB33B4" w:rsidRPr="00986DAB">
        <w:rPr>
          <w:rFonts w:ascii="Times New Roman" w:eastAsia="Times New Roman" w:hAnsi="Times New Roman" w:cs="Times New Roman"/>
          <w:bCs/>
          <w:color w:val="002060"/>
          <w:sz w:val="24"/>
          <w:szCs w:val="24"/>
          <w:lang w:val="en-GB" w:eastAsia="el-GR"/>
        </w:rPr>
        <w:t>monitor, have access to and control environmental, social and governance risks, associated with the economic activities of its customers, which involves communication between the customer, its employees and local communities directly affected by its economic activities.</w:t>
      </w:r>
    </w:p>
    <w:p w14:paraId="5082A9CF" w14:textId="191775BC" w:rsidR="00CB33B4" w:rsidRPr="00986DAB" w:rsidRDefault="00991C8D"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lastRenderedPageBreak/>
        <w:t>ESMS</w:t>
      </w:r>
      <w:r w:rsidR="00CB33B4" w:rsidRPr="00986DAB">
        <w:rPr>
          <w:rFonts w:ascii="Times New Roman" w:eastAsia="Times New Roman" w:hAnsi="Times New Roman" w:cs="Times New Roman"/>
          <w:bCs/>
          <w:color w:val="002060"/>
          <w:sz w:val="24"/>
          <w:szCs w:val="24"/>
          <w:lang w:val="en-GB" w:eastAsia="el-GR"/>
        </w:rPr>
        <w:t xml:space="preserve"> helps the Bank to avoid or mitigate relevant risks throughout the term of the loan agreement by conducting environmental, social and governance risk assessments before, during and after the loan </w:t>
      </w:r>
      <w:proofErr w:type="gramStart"/>
      <w:r w:rsidR="00CB33B4" w:rsidRPr="00986DAB">
        <w:rPr>
          <w:rFonts w:ascii="Times New Roman" w:eastAsia="Times New Roman" w:hAnsi="Times New Roman" w:cs="Times New Roman"/>
          <w:bCs/>
          <w:color w:val="002060"/>
          <w:sz w:val="24"/>
          <w:szCs w:val="24"/>
          <w:lang w:val="en-GB" w:eastAsia="el-GR"/>
        </w:rPr>
        <w:t>is granted</w:t>
      </w:r>
      <w:proofErr w:type="gramEnd"/>
      <w:r w:rsidR="00CB33B4" w:rsidRPr="00986DAB">
        <w:rPr>
          <w:rFonts w:ascii="Times New Roman" w:eastAsia="Times New Roman" w:hAnsi="Times New Roman" w:cs="Times New Roman"/>
          <w:bCs/>
          <w:color w:val="002060"/>
          <w:sz w:val="24"/>
          <w:szCs w:val="24"/>
          <w:lang w:val="en-GB" w:eastAsia="el-GR"/>
        </w:rPr>
        <w:t>. This requires the development of an appropriate management system that will contribute to the achievement of reliable and sustainable environmental and social results for clients, leading to stable financial results for the Bank.</w:t>
      </w:r>
    </w:p>
    <w:p w14:paraId="3FB93D38" w14:textId="340C5FA6"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Components of </w:t>
      </w:r>
      <w:r w:rsidR="00991C8D" w:rsidRPr="00986DAB">
        <w:rPr>
          <w:rFonts w:ascii="Times New Roman" w:eastAsia="Times New Roman" w:hAnsi="Times New Roman" w:cs="Times New Roman"/>
          <w:bCs/>
          <w:color w:val="002060"/>
          <w:sz w:val="24"/>
          <w:szCs w:val="24"/>
          <w:lang w:val="en-GB" w:eastAsia="el-GR"/>
        </w:rPr>
        <w:t>ESMS</w:t>
      </w:r>
      <w:r w:rsidRPr="00986DAB">
        <w:rPr>
          <w:rFonts w:ascii="Times New Roman" w:eastAsia="Times New Roman" w:hAnsi="Times New Roman" w:cs="Times New Roman"/>
          <w:bCs/>
          <w:color w:val="002060"/>
          <w:sz w:val="24"/>
          <w:szCs w:val="24"/>
          <w:lang w:val="en-GB" w:eastAsia="el-GR"/>
        </w:rPr>
        <w:t>:</w:t>
      </w:r>
    </w:p>
    <w:p w14:paraId="406E7113" w14:textId="77777777" w:rsidR="00CB33B4" w:rsidRPr="00986DAB" w:rsidRDefault="00290EE6" w:rsidP="00290EE6">
      <w:pPr>
        <w:spacing w:after="0" w:line="240" w:lineRule="auto"/>
        <w:ind w:left="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1. </w:t>
      </w:r>
      <w:r w:rsidR="00CB33B4" w:rsidRPr="00986DAB">
        <w:rPr>
          <w:rFonts w:ascii="Times New Roman" w:eastAsia="Times New Roman" w:hAnsi="Times New Roman" w:cs="Times New Roman"/>
          <w:bCs/>
          <w:color w:val="002060"/>
          <w:sz w:val="24"/>
          <w:szCs w:val="24"/>
          <w:lang w:val="en-GB" w:eastAsia="el-GR"/>
        </w:rPr>
        <w:t>Environmental, social and governance risk management policy</w:t>
      </w:r>
    </w:p>
    <w:p w14:paraId="67F4B6AC" w14:textId="73CE7742" w:rsidR="00CB33B4" w:rsidRPr="00986DAB" w:rsidRDefault="00290EE6" w:rsidP="00290EE6">
      <w:pPr>
        <w:spacing w:after="0" w:line="240" w:lineRule="auto"/>
        <w:ind w:left="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2. </w:t>
      </w:r>
      <w:r w:rsidR="00CB33B4" w:rsidRPr="00986DAB">
        <w:rPr>
          <w:rFonts w:ascii="Times New Roman" w:eastAsia="Times New Roman" w:hAnsi="Times New Roman" w:cs="Times New Roman"/>
          <w:bCs/>
          <w:color w:val="002060"/>
          <w:sz w:val="24"/>
          <w:szCs w:val="24"/>
          <w:lang w:val="en-GB" w:eastAsia="el-GR"/>
        </w:rPr>
        <w:t>ESG risk</w:t>
      </w:r>
      <w:r w:rsidR="00907364">
        <w:rPr>
          <w:rFonts w:ascii="Times New Roman" w:eastAsia="Times New Roman" w:hAnsi="Times New Roman" w:cs="Times New Roman"/>
          <w:bCs/>
          <w:color w:val="002060"/>
          <w:sz w:val="24"/>
          <w:szCs w:val="24"/>
          <w:lang w:val="en-GB" w:eastAsia="el-GR"/>
        </w:rPr>
        <w:t>s</w:t>
      </w:r>
      <w:r w:rsidR="00CB33B4" w:rsidRPr="00986DAB">
        <w:rPr>
          <w:rFonts w:ascii="Times New Roman" w:eastAsia="Times New Roman" w:hAnsi="Times New Roman" w:cs="Times New Roman"/>
          <w:bCs/>
          <w:color w:val="002060"/>
          <w:sz w:val="24"/>
          <w:szCs w:val="24"/>
          <w:lang w:val="en-GB" w:eastAsia="el-GR"/>
        </w:rPr>
        <w:t xml:space="preserve"> assessment procedures</w:t>
      </w:r>
    </w:p>
    <w:p w14:paraId="3210DD58" w14:textId="77777777" w:rsidR="00CB33B4" w:rsidRPr="00986DAB" w:rsidRDefault="00290EE6" w:rsidP="00290EE6">
      <w:pPr>
        <w:spacing w:after="0" w:line="240" w:lineRule="auto"/>
        <w:ind w:left="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3. </w:t>
      </w:r>
      <w:r w:rsidR="00CB33B4" w:rsidRPr="00986DAB">
        <w:rPr>
          <w:rFonts w:ascii="Times New Roman" w:eastAsia="Times New Roman" w:hAnsi="Times New Roman" w:cs="Times New Roman"/>
          <w:bCs/>
          <w:color w:val="002060"/>
          <w:sz w:val="24"/>
          <w:szCs w:val="24"/>
          <w:lang w:val="en-GB" w:eastAsia="el-GR"/>
        </w:rPr>
        <w:t>Monitoring and record keeping</w:t>
      </w:r>
    </w:p>
    <w:p w14:paraId="4C085248" w14:textId="4F238B74" w:rsidR="00CB33B4" w:rsidRPr="00986DAB" w:rsidRDefault="00290EE6" w:rsidP="00290EE6">
      <w:pPr>
        <w:spacing w:after="0" w:line="240" w:lineRule="auto"/>
        <w:ind w:left="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4. </w:t>
      </w:r>
      <w:r w:rsidR="00CB33B4" w:rsidRPr="00986DAB">
        <w:rPr>
          <w:rFonts w:ascii="Times New Roman" w:eastAsia="Times New Roman" w:hAnsi="Times New Roman" w:cs="Times New Roman"/>
          <w:bCs/>
          <w:color w:val="002060"/>
          <w:sz w:val="24"/>
          <w:szCs w:val="24"/>
          <w:lang w:val="en-GB" w:eastAsia="el-GR"/>
        </w:rPr>
        <w:t>Annual review a</w:t>
      </w:r>
      <w:r w:rsidR="00907364">
        <w:rPr>
          <w:rFonts w:ascii="Times New Roman" w:eastAsia="Times New Roman" w:hAnsi="Times New Roman" w:cs="Times New Roman"/>
          <w:bCs/>
          <w:color w:val="002060"/>
          <w:sz w:val="24"/>
          <w:szCs w:val="24"/>
          <w:lang w:val="en-GB" w:eastAsia="el-GR"/>
        </w:rPr>
        <w:t>nd continuous improvement of ESMS</w:t>
      </w:r>
    </w:p>
    <w:p w14:paraId="764981C6" w14:textId="77777777" w:rsidR="00CB33B4" w:rsidRPr="00986DAB" w:rsidRDefault="00290EE6" w:rsidP="00290EE6">
      <w:pPr>
        <w:spacing w:after="0" w:line="240" w:lineRule="auto"/>
        <w:ind w:left="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5. </w:t>
      </w:r>
      <w:r w:rsidR="00CB33B4" w:rsidRPr="00986DAB">
        <w:rPr>
          <w:rFonts w:ascii="Times New Roman" w:eastAsia="Times New Roman" w:hAnsi="Times New Roman" w:cs="Times New Roman"/>
          <w:bCs/>
          <w:color w:val="002060"/>
          <w:sz w:val="24"/>
          <w:szCs w:val="24"/>
          <w:lang w:val="en-GB" w:eastAsia="el-GR"/>
        </w:rPr>
        <w:t>Internal and external reporting</w:t>
      </w:r>
    </w:p>
    <w:p w14:paraId="7D047F2A" w14:textId="53F8BB0B" w:rsidR="00CB33B4" w:rsidRPr="00986DAB" w:rsidRDefault="00290EE6" w:rsidP="00290EE6">
      <w:pPr>
        <w:spacing w:after="0" w:line="240" w:lineRule="auto"/>
        <w:ind w:left="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6. </w:t>
      </w:r>
      <w:r w:rsidR="00CB33B4" w:rsidRPr="00986DAB">
        <w:rPr>
          <w:rFonts w:ascii="Times New Roman" w:eastAsia="Times New Roman" w:hAnsi="Times New Roman" w:cs="Times New Roman"/>
          <w:bCs/>
          <w:color w:val="002060"/>
          <w:sz w:val="24"/>
          <w:szCs w:val="24"/>
          <w:lang w:val="en-GB" w:eastAsia="el-GR"/>
        </w:rPr>
        <w:t xml:space="preserve">Assessment of ESG risk appetite as </w:t>
      </w:r>
      <w:r w:rsidR="00936402" w:rsidRPr="00986DAB">
        <w:rPr>
          <w:rFonts w:ascii="Times New Roman" w:eastAsia="Times New Roman" w:hAnsi="Times New Roman" w:cs="Times New Roman"/>
          <w:bCs/>
          <w:color w:val="002060"/>
          <w:sz w:val="24"/>
          <w:szCs w:val="24"/>
          <w:lang w:val="en-GB" w:eastAsia="el-GR"/>
        </w:rPr>
        <w:t xml:space="preserve">part of </w:t>
      </w:r>
      <w:r w:rsidR="00CB33B4" w:rsidRPr="00986DAB">
        <w:rPr>
          <w:rFonts w:ascii="Times New Roman" w:eastAsia="Times New Roman" w:hAnsi="Times New Roman" w:cs="Times New Roman"/>
          <w:bCs/>
          <w:color w:val="002060"/>
          <w:sz w:val="24"/>
          <w:szCs w:val="24"/>
          <w:lang w:val="en-GB" w:eastAsia="el-GR"/>
        </w:rPr>
        <w:t xml:space="preserve">the Risk and Capital Management Strategy </w:t>
      </w:r>
    </w:p>
    <w:p w14:paraId="308F6060" w14:textId="59BE3F8A" w:rsidR="00CB33B4" w:rsidRPr="00986DAB" w:rsidRDefault="00290EE6" w:rsidP="00290EE6">
      <w:pPr>
        <w:spacing w:after="0" w:line="240" w:lineRule="auto"/>
        <w:ind w:left="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7. </w:t>
      </w:r>
      <w:r w:rsidR="00CB33B4" w:rsidRPr="00986DAB">
        <w:rPr>
          <w:rFonts w:ascii="Times New Roman" w:eastAsia="Times New Roman" w:hAnsi="Times New Roman" w:cs="Times New Roman"/>
          <w:bCs/>
          <w:color w:val="002060"/>
          <w:sz w:val="24"/>
          <w:szCs w:val="24"/>
          <w:lang w:val="en-GB" w:eastAsia="el-GR"/>
        </w:rPr>
        <w:t xml:space="preserve">Roles and responsibilities for implementing and reviewing </w:t>
      </w:r>
      <w:r w:rsidR="00991C8D" w:rsidRPr="00986DAB">
        <w:rPr>
          <w:rFonts w:ascii="Times New Roman" w:eastAsia="Times New Roman" w:hAnsi="Times New Roman" w:cs="Times New Roman"/>
          <w:bCs/>
          <w:color w:val="002060"/>
          <w:sz w:val="24"/>
          <w:szCs w:val="24"/>
          <w:lang w:val="en-GB" w:eastAsia="el-GR"/>
        </w:rPr>
        <w:t>ESMS</w:t>
      </w:r>
    </w:p>
    <w:p w14:paraId="07710EEE" w14:textId="77777777" w:rsidR="00CB33B4" w:rsidRPr="00986DAB" w:rsidRDefault="00290EE6" w:rsidP="00290EE6">
      <w:pPr>
        <w:spacing w:after="0" w:line="240" w:lineRule="auto"/>
        <w:ind w:left="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8. </w:t>
      </w:r>
      <w:r w:rsidR="00CB33B4" w:rsidRPr="00986DAB">
        <w:rPr>
          <w:rFonts w:ascii="Times New Roman" w:eastAsia="Times New Roman" w:hAnsi="Times New Roman" w:cs="Times New Roman"/>
          <w:bCs/>
          <w:color w:val="002060"/>
          <w:sz w:val="24"/>
          <w:szCs w:val="24"/>
          <w:lang w:val="en-GB" w:eastAsia="el-GR"/>
        </w:rPr>
        <w:t>External communication</w:t>
      </w:r>
    </w:p>
    <w:p w14:paraId="175681F3" w14:textId="77777777" w:rsidR="00CB33B4" w:rsidRPr="00986DAB" w:rsidRDefault="00290EE6" w:rsidP="00290EE6">
      <w:pPr>
        <w:spacing w:after="0" w:line="240" w:lineRule="auto"/>
        <w:ind w:left="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9. </w:t>
      </w:r>
      <w:r w:rsidR="00CB33B4" w:rsidRPr="00986DAB">
        <w:rPr>
          <w:rFonts w:ascii="Times New Roman" w:eastAsia="Times New Roman" w:hAnsi="Times New Roman" w:cs="Times New Roman"/>
          <w:bCs/>
          <w:color w:val="002060"/>
          <w:sz w:val="24"/>
          <w:szCs w:val="24"/>
          <w:lang w:val="en-GB" w:eastAsia="el-GR"/>
        </w:rPr>
        <w:t>Emergency preparedness and response plan</w:t>
      </w:r>
    </w:p>
    <w:p w14:paraId="6CC417AC" w14:textId="77777777" w:rsidR="00CB33B4" w:rsidRPr="00986DAB" w:rsidRDefault="00290EE6" w:rsidP="00290EE6">
      <w:pPr>
        <w:spacing w:after="0" w:line="240" w:lineRule="auto"/>
        <w:ind w:left="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10. </w:t>
      </w:r>
      <w:r w:rsidR="00CB33B4" w:rsidRPr="00986DAB">
        <w:rPr>
          <w:rFonts w:ascii="Times New Roman" w:eastAsia="Times New Roman" w:hAnsi="Times New Roman" w:cs="Times New Roman"/>
          <w:bCs/>
          <w:color w:val="002060"/>
          <w:sz w:val="24"/>
          <w:szCs w:val="24"/>
          <w:lang w:val="en-GB" w:eastAsia="el-GR"/>
        </w:rPr>
        <w:t>Training</w:t>
      </w:r>
    </w:p>
    <w:p w14:paraId="39CD1DDE" w14:textId="77777777" w:rsidR="00CB33B4" w:rsidRPr="00986DAB" w:rsidRDefault="00290EE6" w:rsidP="00290EE6">
      <w:pPr>
        <w:spacing w:after="0" w:line="240" w:lineRule="auto"/>
        <w:ind w:left="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11. </w:t>
      </w:r>
      <w:r w:rsidR="00CB33B4" w:rsidRPr="00986DAB">
        <w:rPr>
          <w:rFonts w:ascii="Times New Roman" w:eastAsia="Times New Roman" w:hAnsi="Times New Roman" w:cs="Times New Roman"/>
          <w:bCs/>
          <w:color w:val="002060"/>
          <w:sz w:val="24"/>
          <w:szCs w:val="24"/>
          <w:lang w:val="en-GB" w:eastAsia="el-GR"/>
        </w:rPr>
        <w:t>Budget approval and senior management</w:t>
      </w:r>
    </w:p>
    <w:p w14:paraId="0CFF9535" w14:textId="77777777" w:rsidR="00CB33B4" w:rsidRPr="00294AA0" w:rsidRDefault="00290EE6" w:rsidP="00CB33B4">
      <w:pPr>
        <w:spacing w:after="0" w:line="240" w:lineRule="auto"/>
        <w:ind w:firstLine="567"/>
        <w:jc w:val="both"/>
        <w:rPr>
          <w:rFonts w:ascii="Times New Roman" w:eastAsia="Times New Roman" w:hAnsi="Times New Roman" w:cs="Times New Roman"/>
          <w:b/>
          <w:bCs/>
          <w:color w:val="002060"/>
          <w:sz w:val="24"/>
          <w:szCs w:val="24"/>
          <w:lang w:val="en-GB" w:eastAsia="el-GR"/>
        </w:rPr>
      </w:pPr>
      <w:r w:rsidRPr="00294AA0">
        <w:rPr>
          <w:rFonts w:ascii="Times New Roman" w:eastAsia="Times New Roman" w:hAnsi="Times New Roman" w:cs="Times New Roman"/>
          <w:b/>
          <w:bCs/>
          <w:color w:val="002060"/>
          <w:sz w:val="24"/>
          <w:szCs w:val="24"/>
          <w:lang w:val="en-GB" w:eastAsia="el-GR"/>
        </w:rPr>
        <w:t xml:space="preserve">3.1. </w:t>
      </w:r>
      <w:r w:rsidR="00CB33B4" w:rsidRPr="00294AA0">
        <w:rPr>
          <w:rFonts w:ascii="Times New Roman" w:eastAsia="Times New Roman" w:hAnsi="Times New Roman" w:cs="Times New Roman"/>
          <w:b/>
          <w:bCs/>
          <w:color w:val="002060"/>
          <w:sz w:val="24"/>
          <w:szCs w:val="24"/>
          <w:lang w:val="en-GB" w:eastAsia="el-GR"/>
        </w:rPr>
        <w:t>IMPLEMENTATION OF THE ENVIRONMENTAL, SOCIAL AND GOVERNANCE MANAGEMENT SYSTEM</w:t>
      </w:r>
    </w:p>
    <w:p w14:paraId="440BD7A3" w14:textId="77777777" w:rsidR="00CB33B4" w:rsidRPr="00986DAB" w:rsidRDefault="00290EE6"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3</w:t>
      </w:r>
      <w:r w:rsidR="00CB33B4" w:rsidRPr="00986DAB">
        <w:rPr>
          <w:rFonts w:ascii="Times New Roman" w:eastAsia="Times New Roman" w:hAnsi="Times New Roman" w:cs="Times New Roman"/>
          <w:bCs/>
          <w:color w:val="002060"/>
          <w:sz w:val="24"/>
          <w:szCs w:val="24"/>
          <w:lang w:val="en-GB" w:eastAsia="el-GR"/>
        </w:rPr>
        <w:t>.1.</w:t>
      </w:r>
      <w:r w:rsidRPr="00986DAB">
        <w:rPr>
          <w:rFonts w:ascii="Times New Roman" w:eastAsia="Times New Roman" w:hAnsi="Times New Roman" w:cs="Times New Roman"/>
          <w:bCs/>
          <w:color w:val="002060"/>
          <w:sz w:val="24"/>
          <w:szCs w:val="24"/>
          <w:lang w:val="en-GB" w:eastAsia="el-GR"/>
        </w:rPr>
        <w:t xml:space="preserve">1. </w:t>
      </w:r>
      <w:r w:rsidR="00CB33B4" w:rsidRPr="00986DAB">
        <w:rPr>
          <w:rFonts w:ascii="Times New Roman" w:eastAsia="Times New Roman" w:hAnsi="Times New Roman" w:cs="Times New Roman"/>
          <w:bCs/>
          <w:color w:val="002060"/>
          <w:sz w:val="24"/>
          <w:szCs w:val="24"/>
          <w:lang w:val="en-GB" w:eastAsia="el-GR"/>
        </w:rPr>
        <w:t>ESG POLICY IN GENERAL</w:t>
      </w:r>
    </w:p>
    <w:p w14:paraId="155C69B3" w14:textId="77777777" w:rsidR="00CB33B4" w:rsidRPr="00986DAB" w:rsidRDefault="00290EE6"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Group strives </w:t>
      </w:r>
      <w:r w:rsidR="00CB33B4" w:rsidRPr="00986DAB">
        <w:rPr>
          <w:rFonts w:ascii="Times New Roman" w:eastAsia="Times New Roman" w:hAnsi="Times New Roman" w:cs="Times New Roman"/>
          <w:bCs/>
          <w:color w:val="002060"/>
          <w:sz w:val="24"/>
          <w:szCs w:val="24"/>
          <w:lang w:val="en-GB" w:eastAsia="el-GR"/>
        </w:rPr>
        <w:t xml:space="preserve">to become a leader in ESG sensitivity, contributing to </w:t>
      </w:r>
      <w:r w:rsidRPr="00986DAB">
        <w:rPr>
          <w:rFonts w:ascii="Times New Roman" w:eastAsia="Times New Roman" w:hAnsi="Times New Roman" w:cs="Times New Roman"/>
          <w:bCs/>
          <w:color w:val="002060"/>
          <w:sz w:val="24"/>
          <w:szCs w:val="24"/>
          <w:lang w:val="en-GB" w:eastAsia="el-GR"/>
        </w:rPr>
        <w:t>the country's</w:t>
      </w:r>
      <w:r w:rsidR="00CB33B4" w:rsidRPr="00986DAB">
        <w:rPr>
          <w:rFonts w:ascii="Times New Roman" w:eastAsia="Times New Roman" w:hAnsi="Times New Roman" w:cs="Times New Roman"/>
          <w:bCs/>
          <w:color w:val="002060"/>
          <w:sz w:val="24"/>
          <w:szCs w:val="24"/>
          <w:lang w:val="en-GB" w:eastAsia="el-GR"/>
        </w:rPr>
        <w:t xml:space="preserve"> economic growth through its shareholders, </w:t>
      </w:r>
      <w:r w:rsidRPr="00986DAB">
        <w:rPr>
          <w:rFonts w:ascii="Times New Roman" w:eastAsia="Times New Roman" w:hAnsi="Times New Roman" w:cs="Times New Roman"/>
          <w:bCs/>
          <w:color w:val="002060"/>
          <w:sz w:val="24"/>
          <w:szCs w:val="24"/>
          <w:lang w:val="en-GB" w:eastAsia="el-GR"/>
        </w:rPr>
        <w:t xml:space="preserve">customers and employees. The Group strives to make </w:t>
      </w:r>
      <w:r w:rsidR="00CB33B4" w:rsidRPr="00986DAB">
        <w:rPr>
          <w:rFonts w:ascii="Times New Roman" w:eastAsia="Times New Roman" w:hAnsi="Times New Roman" w:cs="Times New Roman"/>
          <w:bCs/>
          <w:color w:val="002060"/>
          <w:sz w:val="24"/>
          <w:szCs w:val="24"/>
          <w:lang w:val="en-GB" w:eastAsia="el-GR"/>
        </w:rPr>
        <w:t>its vision and strategic directions clear to all stakeholders; provides a unique customer service experience; develops professionals and creates opportunities; builds trust through transparency and sincerity; promotes team spirit and encourages participation; works to create a sustainable society, environment and market. In this regard, since 2010, the Group has adopted the following statement on sustainable development.</w:t>
      </w:r>
    </w:p>
    <w:p w14:paraId="54490BD8" w14:textId="77777777" w:rsidR="00D44B25" w:rsidRPr="00D44B25" w:rsidRDefault="00D44B25" w:rsidP="00D44B25">
      <w:pPr>
        <w:spacing w:after="0" w:line="240" w:lineRule="auto"/>
        <w:ind w:firstLine="567"/>
        <w:jc w:val="both"/>
        <w:rPr>
          <w:rFonts w:ascii="Times New Roman" w:eastAsia="Times New Roman" w:hAnsi="Times New Roman" w:cs="Times New Roman"/>
          <w:bCs/>
          <w:i/>
          <w:color w:val="002060"/>
          <w:sz w:val="24"/>
          <w:szCs w:val="24"/>
          <w:lang w:val="en-GB" w:eastAsia="el-GR"/>
        </w:rPr>
      </w:pPr>
      <w:r w:rsidRPr="00D44B25">
        <w:rPr>
          <w:rFonts w:ascii="Times New Roman" w:eastAsia="Times New Roman" w:hAnsi="Times New Roman" w:cs="Times New Roman"/>
          <w:bCs/>
          <w:i/>
          <w:color w:val="002060"/>
          <w:sz w:val="24"/>
          <w:szCs w:val="24"/>
          <w:lang w:val="en-GB" w:eastAsia="el-GR"/>
        </w:rPr>
        <w:t xml:space="preserve">We will also support and finance companies, institutions, organizations and projects which offer </w:t>
      </w:r>
      <w:proofErr w:type="gramStart"/>
      <w:r w:rsidRPr="00D44B25">
        <w:rPr>
          <w:rFonts w:ascii="Times New Roman" w:eastAsia="Times New Roman" w:hAnsi="Times New Roman" w:cs="Times New Roman"/>
          <w:bCs/>
          <w:i/>
          <w:color w:val="002060"/>
          <w:sz w:val="24"/>
          <w:szCs w:val="24"/>
          <w:lang w:val="en-GB" w:eastAsia="el-GR"/>
        </w:rPr>
        <w:t>added value</w:t>
      </w:r>
      <w:proofErr w:type="gramEnd"/>
      <w:r w:rsidRPr="00D44B25">
        <w:rPr>
          <w:rFonts w:ascii="Times New Roman" w:eastAsia="Times New Roman" w:hAnsi="Times New Roman" w:cs="Times New Roman"/>
          <w:bCs/>
          <w:i/>
          <w:color w:val="002060"/>
          <w:sz w:val="24"/>
          <w:szCs w:val="24"/>
          <w:lang w:val="en-GB" w:eastAsia="el-GR"/>
        </w:rPr>
        <w:t xml:space="preserve"> and which benefit people and the environment by supporting deposit account holders and investors wishing to promote individual and corporate social responsibility in a sustainable society.</w:t>
      </w:r>
    </w:p>
    <w:p w14:paraId="11584134" w14:textId="77777777" w:rsidR="00D44B25" w:rsidRPr="00D44B25" w:rsidRDefault="00D44B25" w:rsidP="00D44B25">
      <w:pPr>
        <w:spacing w:after="0" w:line="240" w:lineRule="auto"/>
        <w:ind w:firstLine="567"/>
        <w:jc w:val="both"/>
        <w:rPr>
          <w:rFonts w:ascii="Times New Roman" w:eastAsia="Times New Roman" w:hAnsi="Times New Roman" w:cs="Times New Roman"/>
          <w:bCs/>
          <w:i/>
          <w:color w:val="002060"/>
          <w:sz w:val="24"/>
          <w:szCs w:val="24"/>
          <w:lang w:val="en-GB" w:eastAsia="el-GR"/>
        </w:rPr>
      </w:pPr>
      <w:r w:rsidRPr="00D44B25">
        <w:rPr>
          <w:rFonts w:ascii="Times New Roman" w:eastAsia="Times New Roman" w:hAnsi="Times New Roman" w:cs="Times New Roman"/>
          <w:bCs/>
          <w:i/>
          <w:color w:val="002060"/>
          <w:sz w:val="24"/>
          <w:szCs w:val="24"/>
          <w:lang w:val="en-GB" w:eastAsia="el-GR"/>
        </w:rPr>
        <w:t>We want economic development to contribute to quality of life and to focus on human dignity without jeopardizing future environmental and social indices".</w:t>
      </w:r>
    </w:p>
    <w:p w14:paraId="37880A8E" w14:textId="01CA124E" w:rsidR="00CB33B4" w:rsidRPr="00986DAB" w:rsidRDefault="00D44B25" w:rsidP="00D44B25">
      <w:pPr>
        <w:spacing w:after="0" w:line="240" w:lineRule="auto"/>
        <w:ind w:firstLine="567"/>
        <w:jc w:val="both"/>
        <w:rPr>
          <w:rFonts w:ascii="Times New Roman" w:eastAsia="Times New Roman" w:hAnsi="Times New Roman" w:cs="Times New Roman"/>
          <w:bCs/>
          <w:i/>
          <w:color w:val="002060"/>
          <w:sz w:val="24"/>
          <w:szCs w:val="24"/>
          <w:lang w:val="en-GB" w:eastAsia="el-GR"/>
        </w:rPr>
      </w:pPr>
      <w:r w:rsidRPr="00D44B25">
        <w:rPr>
          <w:rFonts w:ascii="Times New Roman" w:eastAsia="Times New Roman" w:hAnsi="Times New Roman" w:cs="Times New Roman"/>
          <w:bCs/>
          <w:i/>
          <w:color w:val="002060"/>
          <w:sz w:val="24"/>
          <w:szCs w:val="24"/>
          <w:lang w:val="en-GB" w:eastAsia="el-GR"/>
        </w:rPr>
        <w:t>Sustainability Statement</w:t>
      </w:r>
      <w:r w:rsidRPr="00D44B25">
        <w:rPr>
          <w:rFonts w:ascii="Times New Roman" w:eastAsia="Times New Roman" w:hAnsi="Times New Roman" w:cs="Times New Roman"/>
          <w:bCs/>
          <w:i/>
          <w:color w:val="002060"/>
          <w:sz w:val="24"/>
          <w:szCs w:val="24"/>
          <w:lang w:val="en-GB" w:eastAsia="el-GR"/>
        </w:rPr>
        <w:tab/>
        <w:t>Piraeus Bank Group Executive Committee, 7 June 2010</w:t>
      </w:r>
      <w:r w:rsidR="00FD2185" w:rsidRPr="00986DAB">
        <w:rPr>
          <w:rFonts w:ascii="Times New Roman" w:eastAsia="Times New Roman" w:hAnsi="Times New Roman" w:cs="Times New Roman"/>
          <w:bCs/>
          <w:i/>
          <w:color w:val="002060"/>
          <w:sz w:val="24"/>
          <w:szCs w:val="24"/>
          <w:lang w:val="en-GB" w:eastAsia="el-GR"/>
        </w:rPr>
        <w:t>.</w:t>
      </w:r>
    </w:p>
    <w:p w14:paraId="7909CDC3"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In addition, the Group recognises that sustainable development principles are a fundamental prerequisite for effective entrepreneurship. </w:t>
      </w:r>
      <w:proofErr w:type="gramStart"/>
      <w:r w:rsidRPr="00986DAB">
        <w:rPr>
          <w:rFonts w:ascii="Times New Roman" w:eastAsia="Times New Roman" w:hAnsi="Times New Roman" w:cs="Times New Roman"/>
          <w:bCs/>
          <w:color w:val="002060"/>
          <w:sz w:val="24"/>
          <w:szCs w:val="24"/>
          <w:lang w:val="en-GB" w:eastAsia="el-GR"/>
        </w:rPr>
        <w:t xml:space="preserve">Adhering to the principles and guidelines of the Group (which takes into account the UN Sustainable Development Goals, is a member of the UNEP branch, has signed the UNEP branch's Positive Impact Manifesto, supported the Paris Commitment to Action, participates in </w:t>
      </w:r>
      <w:r w:rsidR="00FD2185" w:rsidRPr="00986DAB">
        <w:rPr>
          <w:rFonts w:ascii="Times New Roman" w:eastAsia="Times New Roman" w:hAnsi="Times New Roman" w:cs="Times New Roman"/>
          <w:bCs/>
          <w:color w:val="002060"/>
          <w:sz w:val="24"/>
          <w:szCs w:val="24"/>
          <w:lang w:val="en-GB" w:eastAsia="el-GR"/>
        </w:rPr>
        <w:t xml:space="preserve">the UNEP branch's </w:t>
      </w:r>
      <w:r w:rsidRPr="00986DAB">
        <w:rPr>
          <w:rFonts w:ascii="Times New Roman" w:eastAsia="Times New Roman" w:hAnsi="Times New Roman" w:cs="Times New Roman"/>
          <w:bCs/>
          <w:color w:val="002060"/>
          <w:sz w:val="24"/>
          <w:szCs w:val="24"/>
          <w:lang w:val="en-GB" w:eastAsia="el-GR"/>
        </w:rPr>
        <w:t xml:space="preserve">Declaration of Intent on </w:t>
      </w:r>
      <w:r w:rsidR="00FD2185" w:rsidRPr="00986DAB">
        <w:rPr>
          <w:rFonts w:ascii="Times New Roman" w:eastAsia="Times New Roman" w:hAnsi="Times New Roman" w:cs="Times New Roman"/>
          <w:bCs/>
          <w:color w:val="002060"/>
          <w:sz w:val="24"/>
          <w:szCs w:val="24"/>
          <w:lang w:val="en-GB" w:eastAsia="el-GR"/>
        </w:rPr>
        <w:t xml:space="preserve">Energy Efficiency), </w:t>
      </w:r>
      <w:r w:rsidRPr="00986DAB">
        <w:rPr>
          <w:rFonts w:ascii="Times New Roman" w:eastAsia="Times New Roman" w:hAnsi="Times New Roman" w:cs="Times New Roman"/>
          <w:bCs/>
          <w:color w:val="002060"/>
          <w:sz w:val="24"/>
          <w:szCs w:val="24"/>
          <w:lang w:val="en-GB" w:eastAsia="el-GR"/>
        </w:rPr>
        <w:t xml:space="preserve">and complying with local legislation on environmental and social issues (the Laws of Ukraine "On Environmental Protection" , </w:t>
      </w:r>
      <w:r w:rsidR="00AB4D70" w:rsidRPr="00986DAB">
        <w:rPr>
          <w:rFonts w:ascii="Times New Roman" w:hAnsi="Times New Roman" w:cs="Times New Roman"/>
          <w:color w:val="002060"/>
          <w:sz w:val="24"/>
          <w:szCs w:val="24"/>
          <w:lang w:val="en-GB"/>
        </w:rPr>
        <w:t>the Law of Ukraine "On Environmental Impact Assessment", "</w:t>
      </w:r>
      <w:r w:rsidRPr="00986DAB">
        <w:rPr>
          <w:rFonts w:ascii="Times New Roman" w:eastAsia="Times New Roman" w:hAnsi="Times New Roman" w:cs="Times New Roman"/>
          <w:bCs/>
          <w:color w:val="002060"/>
          <w:sz w:val="24"/>
          <w:szCs w:val="24"/>
          <w:lang w:val="en-GB" w:eastAsia="el-GR"/>
        </w:rPr>
        <w:t>On State Social Standards and State Social Guarantees", the Labour Code, etc.), The Bank incorporates environmental, social and governance criteria into its operational and business procedures and develops strategies aimed at complying with local and international legislation and regulations in the field of environmental protection and sustainable development in order to have a positive impact on the environment, society and cultural heritage that go beyond legal obligations.</w:t>
      </w:r>
      <w:proofErr w:type="gramEnd"/>
    </w:p>
    <w:p w14:paraId="0827AC6D"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lastRenderedPageBreak/>
        <w:t xml:space="preserve">The unexpected consequences of environmental, social and governance risks associated with the client's activities ultimately also affect the Bank </w:t>
      </w:r>
      <w:proofErr w:type="gramStart"/>
      <w:r w:rsidRPr="00986DAB">
        <w:rPr>
          <w:rFonts w:ascii="Times New Roman" w:eastAsia="Times New Roman" w:hAnsi="Times New Roman" w:cs="Times New Roman"/>
          <w:bCs/>
          <w:color w:val="002060"/>
          <w:sz w:val="24"/>
          <w:szCs w:val="24"/>
          <w:lang w:val="en-GB" w:eastAsia="el-GR"/>
        </w:rPr>
        <w:t>as a result</w:t>
      </w:r>
      <w:proofErr w:type="gramEnd"/>
      <w:r w:rsidRPr="00986DAB">
        <w:rPr>
          <w:rFonts w:ascii="Times New Roman" w:eastAsia="Times New Roman" w:hAnsi="Times New Roman" w:cs="Times New Roman"/>
          <w:bCs/>
          <w:color w:val="002060"/>
          <w:sz w:val="24"/>
          <w:szCs w:val="24"/>
          <w:lang w:val="en-GB" w:eastAsia="el-GR"/>
        </w:rPr>
        <w:t xml:space="preserve"> of the transaction that links the client to the Bank. Unexpected consequences for the client may include:</w:t>
      </w:r>
    </w:p>
    <w:p w14:paraId="750E8B5D"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r>
      <w:r w:rsidRPr="004D130D">
        <w:rPr>
          <w:rFonts w:ascii="Times New Roman" w:eastAsia="Times New Roman" w:hAnsi="Times New Roman" w:cs="Times New Roman"/>
          <w:b/>
          <w:bCs/>
          <w:color w:val="002060"/>
          <w:sz w:val="24"/>
          <w:szCs w:val="24"/>
          <w:lang w:val="en-GB" w:eastAsia="el-GR"/>
        </w:rPr>
        <w:t>Business disruption</w:t>
      </w:r>
      <w:r w:rsidRPr="00986DAB">
        <w:rPr>
          <w:rFonts w:ascii="Times New Roman" w:eastAsia="Times New Roman" w:hAnsi="Times New Roman" w:cs="Times New Roman"/>
          <w:bCs/>
          <w:color w:val="002060"/>
          <w:sz w:val="24"/>
          <w:szCs w:val="24"/>
          <w:lang w:val="en-GB" w:eastAsia="el-GR"/>
        </w:rPr>
        <w:t xml:space="preserve">. The client's operations </w:t>
      </w:r>
      <w:proofErr w:type="gramStart"/>
      <w:r w:rsidRPr="00986DAB">
        <w:rPr>
          <w:rFonts w:ascii="Times New Roman" w:eastAsia="Times New Roman" w:hAnsi="Times New Roman" w:cs="Times New Roman"/>
          <w:bCs/>
          <w:color w:val="002060"/>
          <w:sz w:val="24"/>
          <w:szCs w:val="24"/>
          <w:lang w:val="en-GB" w:eastAsia="el-GR"/>
        </w:rPr>
        <w:t>may be directly affected</w:t>
      </w:r>
      <w:proofErr w:type="gramEnd"/>
      <w:r w:rsidRPr="00986DAB">
        <w:rPr>
          <w:rFonts w:ascii="Times New Roman" w:eastAsia="Times New Roman" w:hAnsi="Times New Roman" w:cs="Times New Roman"/>
          <w:bCs/>
          <w:color w:val="002060"/>
          <w:sz w:val="24"/>
          <w:szCs w:val="24"/>
          <w:lang w:val="en-GB" w:eastAsia="el-GR"/>
        </w:rPr>
        <w:t xml:space="preserve"> by changes in social conditions, such as high staff turnover, or changes in environmental conditions, such as the deterioration of resources on which the client's operations depend. This affects the </w:t>
      </w:r>
      <w:proofErr w:type="gramStart"/>
      <w:r w:rsidRPr="00986DAB">
        <w:rPr>
          <w:rFonts w:ascii="Times New Roman" w:eastAsia="Times New Roman" w:hAnsi="Times New Roman" w:cs="Times New Roman"/>
          <w:bCs/>
          <w:color w:val="002060"/>
          <w:sz w:val="24"/>
          <w:szCs w:val="24"/>
          <w:lang w:val="en-GB" w:eastAsia="el-GR"/>
        </w:rPr>
        <w:t>client's/</w:t>
      </w:r>
      <w:proofErr w:type="gramEnd"/>
      <w:r w:rsidRPr="00986DAB">
        <w:rPr>
          <w:rFonts w:ascii="Times New Roman" w:eastAsia="Times New Roman" w:hAnsi="Times New Roman" w:cs="Times New Roman"/>
          <w:bCs/>
          <w:color w:val="002060"/>
          <w:sz w:val="24"/>
          <w:szCs w:val="24"/>
          <w:lang w:val="en-GB" w:eastAsia="el-GR"/>
        </w:rPr>
        <w:t>investor's prospects of remaining in business and poses a risk to the financial institution.</w:t>
      </w:r>
    </w:p>
    <w:p w14:paraId="4A0570B6"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r>
      <w:r w:rsidRPr="004D130D">
        <w:rPr>
          <w:rFonts w:ascii="Times New Roman" w:eastAsia="Times New Roman" w:hAnsi="Times New Roman" w:cs="Times New Roman"/>
          <w:b/>
          <w:bCs/>
          <w:color w:val="002060"/>
          <w:sz w:val="24"/>
          <w:szCs w:val="24"/>
          <w:lang w:val="en-GB" w:eastAsia="el-GR"/>
        </w:rPr>
        <w:t>Legal issues</w:t>
      </w:r>
      <w:r w:rsidRPr="00986DAB">
        <w:rPr>
          <w:rFonts w:ascii="Times New Roman" w:eastAsia="Times New Roman" w:hAnsi="Times New Roman" w:cs="Times New Roman"/>
          <w:bCs/>
          <w:color w:val="002060"/>
          <w:sz w:val="24"/>
          <w:szCs w:val="24"/>
          <w:lang w:val="en-GB" w:eastAsia="el-GR"/>
        </w:rPr>
        <w:t xml:space="preserve">. A country's environmental, social and governance legislation sets requirements for operating licences, health and safety standards, and permits for emissions/discharges of pollutants. If the client/investor does not comply with these requirements or consistently demonstrates negligence or non-compliance, this may result in fines and penalties or </w:t>
      </w:r>
      <w:proofErr w:type="gramStart"/>
      <w:r w:rsidRPr="00986DAB">
        <w:rPr>
          <w:rFonts w:ascii="Times New Roman" w:eastAsia="Times New Roman" w:hAnsi="Times New Roman" w:cs="Times New Roman"/>
          <w:bCs/>
          <w:color w:val="002060"/>
          <w:sz w:val="24"/>
          <w:szCs w:val="24"/>
          <w:lang w:val="en-GB" w:eastAsia="el-GR"/>
        </w:rPr>
        <w:t>even indefinite suspension of operations, as the operating permit may be revoked by the authorities</w:t>
      </w:r>
      <w:proofErr w:type="gramEnd"/>
      <w:r w:rsidRPr="00986DAB">
        <w:rPr>
          <w:rFonts w:ascii="Times New Roman" w:eastAsia="Times New Roman" w:hAnsi="Times New Roman" w:cs="Times New Roman"/>
          <w:bCs/>
          <w:color w:val="002060"/>
          <w:sz w:val="24"/>
          <w:szCs w:val="24"/>
          <w:lang w:val="en-GB" w:eastAsia="el-GR"/>
        </w:rPr>
        <w:t>. This affects the client's financial and operational viability and poses a risk to the Bank.</w:t>
      </w:r>
    </w:p>
    <w:p w14:paraId="4DC1CEC2"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r>
      <w:r w:rsidRPr="004D130D">
        <w:rPr>
          <w:rFonts w:ascii="Times New Roman" w:eastAsia="Times New Roman" w:hAnsi="Times New Roman" w:cs="Times New Roman"/>
          <w:b/>
          <w:bCs/>
          <w:color w:val="002060"/>
          <w:sz w:val="24"/>
          <w:szCs w:val="24"/>
          <w:lang w:val="en-GB" w:eastAsia="el-GR"/>
        </w:rPr>
        <w:t>Loss of market share</w:t>
      </w:r>
      <w:r w:rsidRPr="00986DAB">
        <w:rPr>
          <w:rFonts w:ascii="Times New Roman" w:eastAsia="Times New Roman" w:hAnsi="Times New Roman" w:cs="Times New Roman"/>
          <w:bCs/>
          <w:color w:val="002060"/>
          <w:sz w:val="24"/>
          <w:szCs w:val="24"/>
          <w:lang w:val="en-GB" w:eastAsia="el-GR"/>
        </w:rPr>
        <w:t>. Due to new environmental, social and governance standards and/or market demands for socially responsible or environmentally friendly products and services, the client may lose market share if it is unable to meet these requirements. This affects the client's ability to maintain profits from existing operations and poses a risk to the Bank.</w:t>
      </w:r>
    </w:p>
    <w:p w14:paraId="1F25BDBF"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r>
      <w:r w:rsidRPr="004D130D">
        <w:rPr>
          <w:rFonts w:ascii="Times New Roman" w:eastAsia="Times New Roman" w:hAnsi="Times New Roman" w:cs="Times New Roman"/>
          <w:b/>
          <w:bCs/>
          <w:color w:val="002060"/>
          <w:sz w:val="24"/>
          <w:szCs w:val="24"/>
          <w:lang w:val="en-GB" w:eastAsia="el-GR"/>
        </w:rPr>
        <w:t>Liabilities and market devaluation</w:t>
      </w:r>
      <w:r w:rsidRPr="00986DAB">
        <w:rPr>
          <w:rFonts w:ascii="Times New Roman" w:eastAsia="Times New Roman" w:hAnsi="Times New Roman" w:cs="Times New Roman"/>
          <w:bCs/>
          <w:color w:val="002060"/>
          <w:sz w:val="24"/>
          <w:szCs w:val="24"/>
          <w:lang w:val="en-GB" w:eastAsia="el-GR"/>
        </w:rPr>
        <w:t>. Clients may face environmental, social and governance liabilities related to environmental pollution, as well as damage or injury caused to third parties. These may include any claims for damages or compensation due to environmental and social harm caused by the client's activities. For the client, this can be a significant financial burden and usually leads to market devaluation of assets. For the bank, this leads to a decline in the value of collateral and the emergence of potential liabilities.</w:t>
      </w:r>
    </w:p>
    <w:p w14:paraId="05ED16FE"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r>
      <w:r w:rsidRPr="004D130D">
        <w:rPr>
          <w:rFonts w:ascii="Times New Roman" w:eastAsia="Times New Roman" w:hAnsi="Times New Roman" w:cs="Times New Roman"/>
          <w:b/>
          <w:bCs/>
          <w:color w:val="002060"/>
          <w:sz w:val="24"/>
          <w:szCs w:val="24"/>
          <w:lang w:val="en-GB" w:eastAsia="el-GR"/>
        </w:rPr>
        <w:t>Poor reputation</w:t>
      </w:r>
      <w:r w:rsidRPr="00986DAB">
        <w:rPr>
          <w:rFonts w:ascii="Times New Roman" w:eastAsia="Times New Roman" w:hAnsi="Times New Roman" w:cs="Times New Roman"/>
          <w:bCs/>
          <w:color w:val="002060"/>
          <w:sz w:val="24"/>
          <w:szCs w:val="24"/>
          <w:lang w:val="en-GB" w:eastAsia="el-GR"/>
        </w:rPr>
        <w:t xml:space="preserve">. As public awareness of environmental, social and governance issues increases, the client's activities are increasingly subject to scrutiny to ensure proper governance and accountability. Poor environmental and social </w:t>
      </w:r>
      <w:r w:rsidR="00711DB1" w:rsidRPr="00986DAB">
        <w:rPr>
          <w:rFonts w:ascii="Times New Roman" w:eastAsia="Times New Roman" w:hAnsi="Times New Roman" w:cs="Times New Roman"/>
          <w:bCs/>
          <w:color w:val="002060"/>
          <w:sz w:val="24"/>
          <w:szCs w:val="24"/>
          <w:lang w:val="en-GB" w:eastAsia="el-GR"/>
        </w:rPr>
        <w:t xml:space="preserve">performance can lead to </w:t>
      </w:r>
      <w:r w:rsidRPr="00986DAB">
        <w:rPr>
          <w:rFonts w:ascii="Times New Roman" w:eastAsia="Times New Roman" w:hAnsi="Times New Roman" w:cs="Times New Roman"/>
          <w:bCs/>
          <w:color w:val="002060"/>
          <w:sz w:val="24"/>
          <w:szCs w:val="24"/>
          <w:lang w:val="en-GB" w:eastAsia="el-GR"/>
        </w:rPr>
        <w:t>community</w:t>
      </w:r>
      <w:r w:rsidR="00711DB1" w:rsidRPr="00986DAB">
        <w:rPr>
          <w:rFonts w:ascii="Times New Roman" w:eastAsia="Times New Roman" w:hAnsi="Times New Roman" w:cs="Times New Roman"/>
          <w:bCs/>
          <w:color w:val="002060"/>
          <w:sz w:val="24"/>
          <w:szCs w:val="24"/>
          <w:lang w:val="en-GB" w:eastAsia="el-GR"/>
        </w:rPr>
        <w:t xml:space="preserve"> opposition to </w:t>
      </w:r>
      <w:r w:rsidRPr="00986DAB">
        <w:rPr>
          <w:rFonts w:ascii="Times New Roman" w:eastAsia="Times New Roman" w:hAnsi="Times New Roman" w:cs="Times New Roman"/>
          <w:bCs/>
          <w:color w:val="002060"/>
          <w:sz w:val="24"/>
          <w:szCs w:val="24"/>
          <w:lang w:val="en-GB" w:eastAsia="el-GR"/>
        </w:rPr>
        <w:t>the client's presence in the community and potential delays or disruptions to the client's operations. Negative public perception will damage the client's reputation, which may lead to reduced demand for its products or services. This affects the client's financial and operational viability and poses a risk to the Bank.</w:t>
      </w:r>
    </w:p>
    <w:p w14:paraId="7397B023"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To this end, the Bank:</w:t>
      </w:r>
    </w:p>
    <w:p w14:paraId="1D4D32D1" w14:textId="77777777" w:rsidR="00CB33B4" w:rsidRPr="004D130D" w:rsidRDefault="00CB33B4" w:rsidP="00FD218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val="en-GB" w:eastAsia="el-GR"/>
        </w:rPr>
      </w:pPr>
      <w:r w:rsidRPr="004D130D">
        <w:rPr>
          <w:rFonts w:ascii="Times New Roman" w:eastAsia="Times New Roman" w:hAnsi="Times New Roman" w:cs="Times New Roman"/>
          <w:b/>
          <w:bCs/>
          <w:color w:val="002060"/>
          <w:sz w:val="24"/>
          <w:szCs w:val="24"/>
          <w:lang w:val="en-GB" w:eastAsia="el-GR"/>
        </w:rPr>
        <w:t>Strengthens corporate governance</w:t>
      </w:r>
    </w:p>
    <w:p w14:paraId="35A33865"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The Bank fully complies with the corporate governance regulatory framework, protecting its corporate interests and, through them, the interests of its shareholders. At the same time, continuous improvement of the management system, internal control, regulatory compliance, transparency and disclosure of information to the investment community are key issues.</w:t>
      </w:r>
    </w:p>
    <w:p w14:paraId="51B74492"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The Bank ensures transparency by applying appropriate procedures for the evaluation and selection of partners and suppliers.</w:t>
      </w:r>
    </w:p>
    <w:p w14:paraId="7ECE729F" w14:textId="77777777" w:rsidR="00CB33B4" w:rsidRPr="004D130D" w:rsidRDefault="00CB33B4" w:rsidP="00FD218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val="en-GB" w:eastAsia="el-GR"/>
        </w:rPr>
      </w:pPr>
      <w:r w:rsidRPr="004D130D">
        <w:rPr>
          <w:rFonts w:ascii="Times New Roman" w:eastAsia="Times New Roman" w:hAnsi="Times New Roman" w:cs="Times New Roman"/>
          <w:b/>
          <w:bCs/>
          <w:color w:val="002060"/>
          <w:sz w:val="24"/>
          <w:szCs w:val="24"/>
          <w:lang w:val="en-GB" w:eastAsia="el-GR"/>
        </w:rPr>
        <w:t>Interacts with customers on the basis of trust and professional relationships</w:t>
      </w:r>
    </w:p>
    <w:p w14:paraId="511038F1"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Bank's fundamental principles in its relations with customers </w:t>
      </w:r>
      <w:proofErr w:type="gramStart"/>
      <w:r w:rsidRPr="00986DAB">
        <w:rPr>
          <w:rFonts w:ascii="Times New Roman" w:eastAsia="Times New Roman" w:hAnsi="Times New Roman" w:cs="Times New Roman"/>
          <w:bCs/>
          <w:color w:val="002060"/>
          <w:sz w:val="24"/>
          <w:szCs w:val="24"/>
          <w:lang w:val="en-GB" w:eastAsia="el-GR"/>
        </w:rPr>
        <w:t>are:</w:t>
      </w:r>
      <w:proofErr w:type="gramEnd"/>
      <w:r w:rsidRPr="00986DAB">
        <w:rPr>
          <w:rFonts w:ascii="Times New Roman" w:eastAsia="Times New Roman" w:hAnsi="Times New Roman" w:cs="Times New Roman"/>
          <w:bCs/>
          <w:color w:val="002060"/>
          <w:sz w:val="24"/>
          <w:szCs w:val="24"/>
          <w:lang w:val="en-GB" w:eastAsia="el-GR"/>
        </w:rPr>
        <w:t xml:space="preserve"> clear provision of information, transparency of contractual terms and conditions, and security of all types of transactions, both physical and electronic. The Bank strives to build long-term relationships of trust with its customers through a high level of professionalism and quality of service.</w:t>
      </w:r>
    </w:p>
    <w:p w14:paraId="76656710" w14:textId="77777777" w:rsidR="00CB33B4" w:rsidRPr="004D130D" w:rsidRDefault="00CB33B4" w:rsidP="00FD218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val="en-GB" w:eastAsia="el-GR"/>
        </w:rPr>
      </w:pPr>
      <w:r w:rsidRPr="004D130D">
        <w:rPr>
          <w:rFonts w:ascii="Times New Roman" w:eastAsia="Times New Roman" w:hAnsi="Times New Roman" w:cs="Times New Roman"/>
          <w:b/>
          <w:bCs/>
          <w:color w:val="002060"/>
          <w:sz w:val="24"/>
          <w:szCs w:val="24"/>
          <w:lang w:val="en-GB" w:eastAsia="el-GR"/>
        </w:rPr>
        <w:t>Implements best practices in the workplace</w:t>
      </w:r>
    </w:p>
    <w:p w14:paraId="2B2FD822"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The Bank recognises that human resources are a key factor in the success of achieving its strategic goals. It respects human rights and develops a humane and responsible organisation where competent, dedicated and inspired employees work collectively to be market leaders through diversity, innovation, value creation and ensuring prosperity and sustainable development.</w:t>
      </w:r>
    </w:p>
    <w:p w14:paraId="65836BFD"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lastRenderedPageBreak/>
        <w:t>The Bank provides equal opportunities for the continuous development of employees, as well as non-discriminatory practices in the recruitment process through special candidate selection systems.</w:t>
      </w:r>
    </w:p>
    <w:p w14:paraId="7DD2A85E"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proofErr w:type="gramStart"/>
      <w:r w:rsidRPr="00986DAB">
        <w:rPr>
          <w:rFonts w:ascii="Times New Roman" w:eastAsia="Times New Roman" w:hAnsi="Times New Roman" w:cs="Times New Roman"/>
          <w:bCs/>
          <w:color w:val="002060"/>
          <w:sz w:val="24"/>
          <w:szCs w:val="24"/>
          <w:lang w:val="en-GB" w:eastAsia="el-GR"/>
        </w:rPr>
        <w:t>The Bank considers its ability to respond to emergencies and extraordinary situations a priority and has therefore established a system for preparedness and response to extraordinary situations.</w:t>
      </w:r>
      <w:proofErr w:type="gramEnd"/>
    </w:p>
    <w:p w14:paraId="159207BA" w14:textId="77777777" w:rsidR="00CB33B4" w:rsidRPr="004D130D" w:rsidRDefault="00CB33B4" w:rsidP="00FD218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val="en-GB" w:eastAsia="el-GR"/>
        </w:rPr>
      </w:pPr>
      <w:r w:rsidRPr="004D130D">
        <w:rPr>
          <w:rFonts w:ascii="Times New Roman" w:eastAsia="Times New Roman" w:hAnsi="Times New Roman" w:cs="Times New Roman"/>
          <w:b/>
          <w:bCs/>
          <w:color w:val="002060"/>
          <w:sz w:val="24"/>
          <w:szCs w:val="24"/>
          <w:lang w:val="en-GB" w:eastAsia="el-GR"/>
        </w:rPr>
        <w:t>Builds harmonious relationships with social partners</w:t>
      </w:r>
    </w:p>
    <w:p w14:paraId="1E3F1B80"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Bank supports family, education, health care and entrepreneurship through employee volunteer activities, direct grants and donations, and cooperation with non-governmental organisations (NGOs). At the same time, the Bank </w:t>
      </w:r>
      <w:proofErr w:type="gramStart"/>
      <w:r w:rsidRPr="00986DAB">
        <w:rPr>
          <w:rFonts w:ascii="Times New Roman" w:eastAsia="Times New Roman" w:hAnsi="Times New Roman" w:cs="Times New Roman"/>
          <w:bCs/>
          <w:color w:val="002060"/>
          <w:sz w:val="24"/>
          <w:szCs w:val="24"/>
          <w:lang w:val="en-GB" w:eastAsia="el-GR"/>
        </w:rPr>
        <w:t>provides assistance</w:t>
      </w:r>
      <w:proofErr w:type="gramEnd"/>
      <w:r w:rsidRPr="00986DAB">
        <w:rPr>
          <w:rFonts w:ascii="Times New Roman" w:eastAsia="Times New Roman" w:hAnsi="Times New Roman" w:cs="Times New Roman"/>
          <w:bCs/>
          <w:color w:val="002060"/>
          <w:sz w:val="24"/>
          <w:szCs w:val="24"/>
          <w:lang w:val="en-GB" w:eastAsia="el-GR"/>
        </w:rPr>
        <w:t xml:space="preserve"> to vulnerable groups and individuals facing difficulties at a professional and personal level.</w:t>
      </w:r>
    </w:p>
    <w:p w14:paraId="760EC86D" w14:textId="729881F9"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Bank strives to respond to any concerns about its activities, in particular lending, raised by customers or other interested third parties, and has therefore established a mechanism for communication and resolution of customer </w:t>
      </w:r>
      <w:proofErr w:type="gramStart"/>
      <w:r w:rsidRPr="00986DAB">
        <w:rPr>
          <w:rFonts w:ascii="Times New Roman" w:eastAsia="Times New Roman" w:hAnsi="Times New Roman" w:cs="Times New Roman"/>
          <w:bCs/>
          <w:color w:val="002060"/>
          <w:sz w:val="24"/>
          <w:szCs w:val="24"/>
          <w:lang w:val="en-GB" w:eastAsia="el-GR"/>
        </w:rPr>
        <w:t>issues .</w:t>
      </w:r>
      <w:proofErr w:type="gramEnd"/>
    </w:p>
    <w:p w14:paraId="302BF004" w14:textId="77777777" w:rsidR="00CB33B4" w:rsidRPr="00986DAB" w:rsidRDefault="00FD2185"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4D130D">
        <w:rPr>
          <w:rFonts w:ascii="Times New Roman" w:eastAsia="Times New Roman" w:hAnsi="Times New Roman" w:cs="Times New Roman"/>
          <w:b/>
          <w:bCs/>
          <w:color w:val="002060"/>
          <w:sz w:val="24"/>
          <w:szCs w:val="24"/>
          <w:lang w:val="en-GB" w:eastAsia="el-GR"/>
        </w:rPr>
        <w:t xml:space="preserve">5. </w:t>
      </w:r>
      <w:r w:rsidR="00CB33B4" w:rsidRPr="004D130D">
        <w:rPr>
          <w:rFonts w:ascii="Times New Roman" w:eastAsia="Times New Roman" w:hAnsi="Times New Roman" w:cs="Times New Roman"/>
          <w:b/>
          <w:bCs/>
          <w:color w:val="002060"/>
          <w:sz w:val="24"/>
          <w:szCs w:val="24"/>
          <w:lang w:val="en-GB" w:eastAsia="el-GR"/>
        </w:rPr>
        <w:t>Protects the environment</w:t>
      </w:r>
      <w:r w:rsidR="00CB33B4" w:rsidRPr="00986DAB">
        <w:rPr>
          <w:rFonts w:ascii="Times New Roman" w:eastAsia="Times New Roman" w:hAnsi="Times New Roman" w:cs="Times New Roman"/>
          <w:bCs/>
          <w:color w:val="002060"/>
          <w:sz w:val="24"/>
          <w:szCs w:val="24"/>
          <w:lang w:val="en-GB" w:eastAsia="el-GR"/>
        </w:rPr>
        <w:t xml:space="preserve"> by using natural resources responsibly and supporting environmentally friendly business activities</w:t>
      </w:r>
    </w:p>
    <w:p w14:paraId="20A38B05" w14:textId="3F236F06" w:rsidR="00CB33B4" w:rsidRPr="00986DAB" w:rsidRDefault="00294AA0" w:rsidP="00294AA0">
      <w:pPr>
        <w:spacing w:after="0"/>
        <w:ind w:firstLine="567"/>
        <w:jc w:val="both"/>
        <w:rPr>
          <w:rFonts w:ascii="Times New Roman" w:eastAsia="Times New Roman" w:hAnsi="Times New Roman" w:cs="Times New Roman"/>
          <w:bCs/>
          <w:color w:val="002060"/>
          <w:sz w:val="24"/>
          <w:szCs w:val="24"/>
          <w:lang w:val="en-GB" w:eastAsia="el-GR"/>
        </w:rPr>
      </w:pPr>
      <w:r>
        <w:rPr>
          <w:rFonts w:ascii="Times New Roman" w:eastAsia="Times New Roman" w:hAnsi="Times New Roman" w:cs="Times New Roman"/>
          <w:bCs/>
          <w:color w:val="002060"/>
          <w:sz w:val="24"/>
          <w:szCs w:val="24"/>
          <w:lang w:val="en-GB" w:eastAsia="el-GR"/>
        </w:rPr>
        <w:t xml:space="preserve">The Bank develops </w:t>
      </w:r>
      <w:r w:rsidR="00561A6D" w:rsidRPr="00986DAB">
        <w:rPr>
          <w:rFonts w:ascii="Times New Roman" w:eastAsia="Times New Roman" w:hAnsi="Times New Roman" w:cs="Times New Roman"/>
          <w:bCs/>
          <w:color w:val="002060"/>
          <w:sz w:val="24"/>
          <w:szCs w:val="24"/>
          <w:lang w:val="en-GB" w:eastAsia="el-GR"/>
        </w:rPr>
        <w:t>ESG Strategy and ESG Roadmap, which sets out priority objectives, deadlines and those responsible for their implementation</w:t>
      </w:r>
      <w:r w:rsidR="00360EF1" w:rsidRPr="00986DAB">
        <w:rPr>
          <w:rFonts w:ascii="Times New Roman" w:eastAsia="Times New Roman" w:hAnsi="Times New Roman" w:cs="Times New Roman"/>
          <w:bCs/>
          <w:color w:val="002060"/>
          <w:sz w:val="24"/>
          <w:szCs w:val="24"/>
          <w:lang w:val="en-GB" w:eastAsia="el-GR"/>
        </w:rPr>
        <w:t xml:space="preserve">, including </w:t>
      </w:r>
      <w:r w:rsidR="00CB33B4" w:rsidRPr="00986DAB">
        <w:rPr>
          <w:rFonts w:ascii="Times New Roman" w:eastAsia="Times New Roman" w:hAnsi="Times New Roman" w:cs="Times New Roman"/>
          <w:bCs/>
          <w:color w:val="002060"/>
          <w:sz w:val="24"/>
          <w:szCs w:val="24"/>
          <w:lang w:val="en-GB" w:eastAsia="el-GR"/>
        </w:rPr>
        <w:t xml:space="preserve">strategies for monitoring and improving its environmental performance and reducing the impact of its activities on the environment, using an environmental management system in accordance with EMAS and ISO 14001 standards. </w:t>
      </w:r>
    </w:p>
    <w:p w14:paraId="79FE8E92" w14:textId="3D82779C" w:rsidR="00561A6D" w:rsidRPr="00986DAB" w:rsidRDefault="002A6D3D" w:rsidP="004D130D">
      <w:pPr>
        <w:spacing w:after="0"/>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As the Group recognises that the risks associated with climate change will intensify in the long term (approximately </w:t>
      </w:r>
      <w:r w:rsidR="00DA1131" w:rsidRPr="00986DAB">
        <w:rPr>
          <w:rFonts w:ascii="Times New Roman" w:eastAsia="Times New Roman" w:hAnsi="Times New Roman" w:cs="Times New Roman"/>
          <w:bCs/>
          <w:color w:val="002060"/>
          <w:sz w:val="24"/>
          <w:szCs w:val="24"/>
          <w:lang w:val="en-GB" w:eastAsia="el-GR"/>
        </w:rPr>
        <w:t xml:space="preserve">over the next five years), </w:t>
      </w:r>
      <w:r w:rsidRPr="00986DAB">
        <w:rPr>
          <w:rFonts w:ascii="Times New Roman" w:eastAsia="Times New Roman" w:hAnsi="Times New Roman" w:cs="Times New Roman"/>
          <w:bCs/>
          <w:color w:val="002060"/>
          <w:sz w:val="24"/>
          <w:szCs w:val="24"/>
          <w:lang w:val="en-GB" w:eastAsia="el-GR"/>
        </w:rPr>
        <w:t xml:space="preserve">a number of initiatives have been launched to </w:t>
      </w:r>
      <w:proofErr w:type="gramStart"/>
      <w:r w:rsidRPr="00986DAB">
        <w:rPr>
          <w:rFonts w:ascii="Times New Roman" w:eastAsia="Times New Roman" w:hAnsi="Times New Roman" w:cs="Times New Roman"/>
          <w:bCs/>
          <w:color w:val="002060"/>
          <w:sz w:val="24"/>
          <w:szCs w:val="24"/>
          <w:lang w:val="en-GB" w:eastAsia="el-GR"/>
        </w:rPr>
        <w:t>take environmental aspects into account</w:t>
      </w:r>
      <w:proofErr w:type="gramEnd"/>
      <w:r w:rsidRPr="00986DAB">
        <w:rPr>
          <w:rFonts w:ascii="Times New Roman" w:eastAsia="Times New Roman" w:hAnsi="Times New Roman" w:cs="Times New Roman"/>
          <w:bCs/>
          <w:color w:val="002060"/>
          <w:sz w:val="24"/>
          <w:szCs w:val="24"/>
          <w:lang w:val="en-GB" w:eastAsia="el-GR"/>
        </w:rPr>
        <w:t xml:space="preserve"> in business objectives, strategies, risk management systems and decision-making processes. </w:t>
      </w:r>
      <w:r w:rsidR="00561A6D" w:rsidRPr="00986DAB">
        <w:rPr>
          <w:rFonts w:ascii="Times New Roman" w:eastAsia="Times New Roman" w:hAnsi="Times New Roman" w:cs="Times New Roman"/>
          <w:bCs/>
          <w:color w:val="002060"/>
          <w:sz w:val="24"/>
          <w:szCs w:val="24"/>
          <w:lang w:val="en-GB" w:eastAsia="el-GR"/>
        </w:rPr>
        <w:t xml:space="preserve">In this context, the Group is implementing a special programme, within which separate areas of support </w:t>
      </w:r>
      <w:proofErr w:type="gramStart"/>
      <w:r w:rsidR="00561A6D" w:rsidRPr="00986DAB">
        <w:rPr>
          <w:rFonts w:ascii="Times New Roman" w:eastAsia="Times New Roman" w:hAnsi="Times New Roman" w:cs="Times New Roman"/>
          <w:bCs/>
          <w:color w:val="002060"/>
          <w:sz w:val="24"/>
          <w:szCs w:val="24"/>
          <w:lang w:val="en-GB" w:eastAsia="el-GR"/>
        </w:rPr>
        <w:t>have been created</w:t>
      </w:r>
      <w:proofErr w:type="gramEnd"/>
      <w:r w:rsidR="00561A6D" w:rsidRPr="00986DAB">
        <w:rPr>
          <w:rFonts w:ascii="Times New Roman" w:eastAsia="Times New Roman" w:hAnsi="Times New Roman" w:cs="Times New Roman"/>
          <w:bCs/>
          <w:color w:val="002060"/>
          <w:sz w:val="24"/>
          <w:szCs w:val="24"/>
          <w:lang w:val="en-GB" w:eastAsia="el-GR"/>
        </w:rPr>
        <w:t xml:space="preserve"> for responsible business units to review policies within their competence, taking into account climate and environmental aspects.</w:t>
      </w:r>
    </w:p>
    <w:p w14:paraId="3D18EFD2" w14:textId="41B25BE3" w:rsidR="00CB33B4" w:rsidRPr="00986DAB" w:rsidRDefault="00CB33B4" w:rsidP="004D130D">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Thus, the Bank is implementing environmental, social and governance criteria in its operational and economic activities in order to comply with local and international standards, as well as national environmental, social and governance legislation. </w:t>
      </w:r>
    </w:p>
    <w:p w14:paraId="00B51D31" w14:textId="77777777" w:rsidR="00CB33B4" w:rsidRPr="00294AA0" w:rsidRDefault="00FD2185" w:rsidP="00CB33B4">
      <w:pPr>
        <w:spacing w:after="0" w:line="240" w:lineRule="auto"/>
        <w:ind w:firstLine="567"/>
        <w:jc w:val="both"/>
        <w:rPr>
          <w:rFonts w:ascii="Times New Roman" w:eastAsia="Times New Roman" w:hAnsi="Times New Roman" w:cs="Times New Roman"/>
          <w:b/>
          <w:bCs/>
          <w:color w:val="002060"/>
          <w:sz w:val="24"/>
          <w:szCs w:val="24"/>
          <w:lang w:val="en-GB" w:eastAsia="el-GR"/>
        </w:rPr>
      </w:pPr>
      <w:r w:rsidRPr="00294AA0">
        <w:rPr>
          <w:rFonts w:ascii="Times New Roman" w:eastAsia="Times New Roman" w:hAnsi="Times New Roman" w:cs="Times New Roman"/>
          <w:b/>
          <w:bCs/>
          <w:color w:val="002060"/>
          <w:sz w:val="24"/>
          <w:szCs w:val="24"/>
          <w:lang w:val="en-GB" w:eastAsia="el-GR"/>
        </w:rPr>
        <w:t>3</w:t>
      </w:r>
      <w:r w:rsidR="00CB33B4" w:rsidRPr="00294AA0">
        <w:rPr>
          <w:rFonts w:ascii="Times New Roman" w:eastAsia="Times New Roman" w:hAnsi="Times New Roman" w:cs="Times New Roman"/>
          <w:b/>
          <w:bCs/>
          <w:color w:val="002060"/>
          <w:sz w:val="24"/>
          <w:szCs w:val="24"/>
          <w:lang w:val="en-GB" w:eastAsia="el-GR"/>
        </w:rPr>
        <w:t>.2. PROCEDURES FOR ASSESSING ENVIRONMENTAL, SOCIAL AND GOVERNANCE RISKS.</w:t>
      </w:r>
    </w:p>
    <w:p w14:paraId="3F2D825E"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The Bank recognises that all activities and projects must comply with the highest environmental, social and governance standards, which include</w:t>
      </w:r>
    </w:p>
    <w:p w14:paraId="4FEF3860" w14:textId="15963B63"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t xml:space="preserve">The Group's </w:t>
      </w:r>
      <w:r w:rsidR="00C55CFC">
        <w:rPr>
          <w:rFonts w:ascii="Times New Roman" w:eastAsia="Times New Roman" w:hAnsi="Times New Roman" w:cs="Times New Roman"/>
          <w:bCs/>
          <w:color w:val="002060"/>
          <w:sz w:val="24"/>
          <w:szCs w:val="24"/>
          <w:lang w:val="en-GB" w:eastAsia="el-GR"/>
        </w:rPr>
        <w:t>Exclusion L</w:t>
      </w:r>
      <w:r w:rsidRPr="00986DAB">
        <w:rPr>
          <w:rFonts w:ascii="Times New Roman" w:eastAsia="Times New Roman" w:hAnsi="Times New Roman" w:cs="Times New Roman"/>
          <w:bCs/>
          <w:color w:val="002060"/>
          <w:sz w:val="24"/>
          <w:szCs w:val="24"/>
          <w:lang w:val="en-GB" w:eastAsia="el-GR"/>
        </w:rPr>
        <w:t>ist (</w:t>
      </w:r>
      <w:r w:rsidR="00E91470">
        <w:rPr>
          <w:rFonts w:ascii="Times New Roman" w:eastAsia="Times New Roman" w:hAnsi="Times New Roman" w:cs="Times New Roman"/>
          <w:bCs/>
          <w:color w:val="002060"/>
          <w:sz w:val="24"/>
          <w:szCs w:val="24"/>
          <w:lang w:val="en-GB" w:eastAsia="el-GR"/>
        </w:rPr>
        <w:t>Annex</w:t>
      </w:r>
      <w:r w:rsidRPr="00986DAB">
        <w:rPr>
          <w:rFonts w:ascii="Times New Roman" w:eastAsia="Times New Roman" w:hAnsi="Times New Roman" w:cs="Times New Roman"/>
          <w:bCs/>
          <w:color w:val="002060"/>
          <w:sz w:val="24"/>
          <w:szCs w:val="24"/>
          <w:lang w:val="en-GB" w:eastAsia="el-GR"/>
        </w:rPr>
        <w:t xml:space="preserve"> B), supplemented by the World Bank's exceptions</w:t>
      </w:r>
      <w:r w:rsidR="00C55CFC">
        <w:rPr>
          <w:rFonts w:ascii="Times New Roman" w:eastAsia="Times New Roman" w:hAnsi="Times New Roman" w:cs="Times New Roman"/>
          <w:bCs/>
          <w:color w:val="002060"/>
          <w:sz w:val="24"/>
          <w:szCs w:val="24"/>
          <w:lang w:val="en-GB" w:eastAsia="el-GR"/>
        </w:rPr>
        <w:t xml:space="preserve"> and others</w:t>
      </w:r>
      <w:r w:rsidRPr="00986DAB">
        <w:rPr>
          <w:rFonts w:ascii="Times New Roman" w:eastAsia="Times New Roman" w:hAnsi="Times New Roman" w:cs="Times New Roman"/>
          <w:bCs/>
          <w:color w:val="002060"/>
          <w:sz w:val="24"/>
          <w:szCs w:val="24"/>
          <w:lang w:val="en-GB" w:eastAsia="el-GR"/>
        </w:rPr>
        <w:t>.</w:t>
      </w:r>
    </w:p>
    <w:p w14:paraId="27529338"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t>Applicable local, regional and national legislation on environmental, health, safety and social issues.</w:t>
      </w:r>
    </w:p>
    <w:p w14:paraId="25E684BE" w14:textId="27618DEA"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t xml:space="preserve">International standards (e.g., IFC Performance Standards, EBRD Operational Requirements, Equator Principles, etc.) as in </w:t>
      </w:r>
      <w:r w:rsidR="00E91470">
        <w:rPr>
          <w:rFonts w:ascii="Times New Roman" w:eastAsia="Times New Roman" w:hAnsi="Times New Roman" w:cs="Times New Roman"/>
          <w:bCs/>
          <w:color w:val="002060"/>
          <w:sz w:val="24"/>
          <w:szCs w:val="24"/>
          <w:lang w:val="en-GB" w:eastAsia="el-GR"/>
        </w:rPr>
        <w:t>Annex</w:t>
      </w:r>
      <w:r w:rsidRPr="00986DAB">
        <w:rPr>
          <w:rFonts w:ascii="Times New Roman" w:eastAsia="Times New Roman" w:hAnsi="Times New Roman" w:cs="Times New Roman"/>
          <w:bCs/>
          <w:color w:val="002060"/>
          <w:sz w:val="24"/>
          <w:szCs w:val="24"/>
          <w:lang w:val="en-GB" w:eastAsia="el-GR"/>
        </w:rPr>
        <w:t xml:space="preserve"> C.</w:t>
      </w:r>
    </w:p>
    <w:p w14:paraId="177F25BF"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Bank continuously strives to apply effective environmental, social and governance practices in all of its financing operations, products and services. In addition, new loan agreements contain commitments requiring that projects </w:t>
      </w:r>
      <w:proofErr w:type="gramStart"/>
      <w:r w:rsidRPr="00986DAB">
        <w:rPr>
          <w:rFonts w:ascii="Times New Roman" w:eastAsia="Times New Roman" w:hAnsi="Times New Roman" w:cs="Times New Roman"/>
          <w:bCs/>
          <w:color w:val="002060"/>
          <w:sz w:val="24"/>
          <w:szCs w:val="24"/>
          <w:lang w:val="en-GB" w:eastAsia="el-GR"/>
        </w:rPr>
        <w:t>be financed</w:t>
      </w:r>
      <w:proofErr w:type="gramEnd"/>
      <w:r w:rsidRPr="00986DAB">
        <w:rPr>
          <w:rFonts w:ascii="Times New Roman" w:eastAsia="Times New Roman" w:hAnsi="Times New Roman" w:cs="Times New Roman"/>
          <w:bCs/>
          <w:color w:val="002060"/>
          <w:sz w:val="24"/>
          <w:szCs w:val="24"/>
          <w:lang w:val="en-GB" w:eastAsia="el-GR"/>
        </w:rPr>
        <w:t xml:space="preserve"> only if they are expected to be designed, built, operated and maintained in a manner that complies with applicable requirements and does not conflict with ESG principles and requirements.</w:t>
      </w:r>
    </w:p>
    <w:p w14:paraId="03D7D71F"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following steps </w:t>
      </w:r>
      <w:proofErr w:type="gramStart"/>
      <w:r w:rsidRPr="00986DAB">
        <w:rPr>
          <w:rFonts w:ascii="Times New Roman" w:eastAsia="Times New Roman" w:hAnsi="Times New Roman" w:cs="Times New Roman"/>
          <w:bCs/>
          <w:color w:val="002060"/>
          <w:sz w:val="24"/>
          <w:szCs w:val="24"/>
          <w:lang w:val="en-GB" w:eastAsia="el-GR"/>
        </w:rPr>
        <w:t>are integrated</w:t>
      </w:r>
      <w:proofErr w:type="gramEnd"/>
      <w:r w:rsidRPr="00986DAB">
        <w:rPr>
          <w:rFonts w:ascii="Times New Roman" w:eastAsia="Times New Roman" w:hAnsi="Times New Roman" w:cs="Times New Roman"/>
          <w:bCs/>
          <w:color w:val="002060"/>
          <w:sz w:val="24"/>
          <w:szCs w:val="24"/>
          <w:lang w:val="en-GB" w:eastAsia="el-GR"/>
        </w:rPr>
        <w:t xml:space="preserve"> into the Procedure for Granting Loans to SME and Corporate Business Customers and the Credit Policy for SME and Corporate Business Customers.</w:t>
      </w:r>
    </w:p>
    <w:p w14:paraId="0A6485B9" w14:textId="77777777" w:rsidR="00CB33B4" w:rsidRPr="00986DAB" w:rsidRDefault="00CB33B4" w:rsidP="00FD2185">
      <w:pPr>
        <w:pStyle w:val="ListParagraph"/>
        <w:numPr>
          <w:ilvl w:val="0"/>
          <w:numId w:val="23"/>
        </w:numPr>
        <w:spacing w:after="0" w:line="240" w:lineRule="auto"/>
        <w:jc w:val="both"/>
        <w:rPr>
          <w:rFonts w:ascii="Times New Roman" w:eastAsia="Times New Roman" w:hAnsi="Times New Roman" w:cs="Times New Roman"/>
          <w:b/>
          <w:bCs/>
          <w:i/>
          <w:color w:val="002060"/>
          <w:sz w:val="24"/>
          <w:szCs w:val="24"/>
          <w:lang w:val="en-GB" w:eastAsia="el-GR"/>
        </w:rPr>
      </w:pPr>
      <w:r w:rsidRPr="00986DAB">
        <w:rPr>
          <w:rFonts w:ascii="Times New Roman" w:eastAsia="Times New Roman" w:hAnsi="Times New Roman" w:cs="Times New Roman"/>
          <w:b/>
          <w:bCs/>
          <w:i/>
          <w:color w:val="002060"/>
          <w:sz w:val="24"/>
          <w:szCs w:val="24"/>
          <w:lang w:val="en-GB" w:eastAsia="el-GR"/>
        </w:rPr>
        <w:t>Project screening measures</w:t>
      </w:r>
    </w:p>
    <w:p w14:paraId="4D6ACC4B"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lastRenderedPageBreak/>
        <w:t xml:space="preserve">At the initial stage of consideration of a loan application, the activities of the project under consideration </w:t>
      </w:r>
      <w:proofErr w:type="gramStart"/>
      <w:r w:rsidRPr="00986DAB">
        <w:rPr>
          <w:rFonts w:ascii="Times New Roman" w:eastAsia="Times New Roman" w:hAnsi="Times New Roman" w:cs="Times New Roman"/>
          <w:bCs/>
          <w:color w:val="002060"/>
          <w:sz w:val="24"/>
          <w:szCs w:val="24"/>
          <w:lang w:val="en-GB" w:eastAsia="el-GR"/>
        </w:rPr>
        <w:t>are assessed</w:t>
      </w:r>
      <w:proofErr w:type="gramEnd"/>
      <w:r w:rsidRPr="00986DAB">
        <w:rPr>
          <w:rFonts w:ascii="Times New Roman" w:eastAsia="Times New Roman" w:hAnsi="Times New Roman" w:cs="Times New Roman"/>
          <w:bCs/>
          <w:color w:val="002060"/>
          <w:sz w:val="24"/>
          <w:szCs w:val="24"/>
          <w:lang w:val="en-GB" w:eastAsia="el-GR"/>
        </w:rPr>
        <w:t>.</w:t>
      </w:r>
    </w:p>
    <w:p w14:paraId="152C3B08" w14:textId="38F430AE"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During the loan approval process, as fully described in the Procedure for Granting Loans to SME and Corporate Clients and/or other internal regulations that may replace it, an initial check is carried out for compliance </w:t>
      </w:r>
      <w:r w:rsidR="00936402" w:rsidRPr="00986DAB">
        <w:rPr>
          <w:rFonts w:ascii="Times New Roman" w:eastAsia="Times New Roman" w:hAnsi="Times New Roman" w:cs="Times New Roman"/>
          <w:bCs/>
          <w:color w:val="002060"/>
          <w:sz w:val="24"/>
          <w:szCs w:val="24"/>
          <w:lang w:val="en-GB" w:eastAsia="el-GR"/>
        </w:rPr>
        <w:t xml:space="preserve">with the List </w:t>
      </w:r>
      <w:r w:rsidRPr="00986DAB">
        <w:rPr>
          <w:rFonts w:ascii="Times New Roman" w:eastAsia="Times New Roman" w:hAnsi="Times New Roman" w:cs="Times New Roman"/>
          <w:bCs/>
          <w:color w:val="002060"/>
          <w:sz w:val="24"/>
          <w:szCs w:val="24"/>
          <w:lang w:val="en-GB" w:eastAsia="el-GR"/>
        </w:rPr>
        <w:t>of Exclusions (</w:t>
      </w:r>
      <w:r w:rsidR="00E91470">
        <w:rPr>
          <w:rFonts w:ascii="Times New Roman" w:eastAsia="Times New Roman" w:hAnsi="Times New Roman" w:cs="Times New Roman"/>
          <w:bCs/>
          <w:color w:val="002060"/>
          <w:sz w:val="24"/>
          <w:szCs w:val="24"/>
          <w:lang w:val="en-GB" w:eastAsia="el-GR"/>
        </w:rPr>
        <w:t>Annex</w:t>
      </w:r>
      <w:r w:rsidRPr="00986DAB">
        <w:rPr>
          <w:rFonts w:ascii="Times New Roman" w:eastAsia="Times New Roman" w:hAnsi="Times New Roman" w:cs="Times New Roman"/>
          <w:bCs/>
          <w:color w:val="002060"/>
          <w:sz w:val="24"/>
          <w:szCs w:val="24"/>
          <w:lang w:val="en-GB" w:eastAsia="el-GR"/>
        </w:rPr>
        <w:t xml:space="preserve"> B). If the project includes excluded activities, it </w:t>
      </w:r>
      <w:proofErr w:type="gramStart"/>
      <w:r w:rsidRPr="00986DAB">
        <w:rPr>
          <w:rFonts w:ascii="Times New Roman" w:eastAsia="Times New Roman" w:hAnsi="Times New Roman" w:cs="Times New Roman"/>
          <w:bCs/>
          <w:color w:val="002060"/>
          <w:sz w:val="24"/>
          <w:szCs w:val="24"/>
          <w:lang w:val="en-GB" w:eastAsia="el-GR"/>
        </w:rPr>
        <w:t>will not be considered</w:t>
      </w:r>
      <w:proofErr w:type="gramEnd"/>
      <w:r w:rsidRPr="00986DAB">
        <w:rPr>
          <w:rFonts w:ascii="Times New Roman" w:eastAsia="Times New Roman" w:hAnsi="Times New Roman" w:cs="Times New Roman"/>
          <w:bCs/>
          <w:color w:val="002060"/>
          <w:sz w:val="24"/>
          <w:szCs w:val="24"/>
          <w:lang w:val="en-GB" w:eastAsia="el-GR"/>
        </w:rPr>
        <w:t xml:space="preserve"> for financing. In addition, during this process, the client's history of environmental, social and governance incidents </w:t>
      </w:r>
      <w:proofErr w:type="gramStart"/>
      <w:r w:rsidRPr="00986DAB">
        <w:rPr>
          <w:rFonts w:ascii="Times New Roman" w:eastAsia="Times New Roman" w:hAnsi="Times New Roman" w:cs="Times New Roman"/>
          <w:bCs/>
          <w:color w:val="002060"/>
          <w:sz w:val="24"/>
          <w:szCs w:val="24"/>
          <w:lang w:val="en-GB" w:eastAsia="el-GR"/>
        </w:rPr>
        <w:t>is checked</w:t>
      </w:r>
      <w:proofErr w:type="gramEnd"/>
      <w:r w:rsidRPr="00986DAB">
        <w:rPr>
          <w:rFonts w:ascii="Times New Roman" w:eastAsia="Times New Roman" w:hAnsi="Times New Roman" w:cs="Times New Roman"/>
          <w:bCs/>
          <w:color w:val="002060"/>
          <w:sz w:val="24"/>
          <w:szCs w:val="24"/>
          <w:lang w:val="en-GB" w:eastAsia="el-GR"/>
        </w:rPr>
        <w:t xml:space="preserve"> by obtaining relevant reports/statements from the Borrower (statement from the local village authority, conclusion of the sanitary service, expertise of the veterinary and sanitary service, etc.). If the client or project has a history of environmental, social and governance incidents, depending on their severity and scale (at the individual discretion of the FA), financing will not be considered.</w:t>
      </w:r>
    </w:p>
    <w:p w14:paraId="5CE156F4" w14:textId="77777777" w:rsidR="00CB33B4" w:rsidRPr="00986DAB" w:rsidRDefault="00FD2185" w:rsidP="00CB33B4">
      <w:pPr>
        <w:spacing w:after="0" w:line="240" w:lineRule="auto"/>
        <w:ind w:firstLine="567"/>
        <w:jc w:val="both"/>
        <w:rPr>
          <w:rFonts w:ascii="Times New Roman" w:eastAsia="Times New Roman" w:hAnsi="Times New Roman" w:cs="Times New Roman"/>
          <w:b/>
          <w:bCs/>
          <w:i/>
          <w:color w:val="002060"/>
          <w:sz w:val="24"/>
          <w:szCs w:val="24"/>
          <w:lang w:val="en-GB" w:eastAsia="el-GR"/>
        </w:rPr>
      </w:pPr>
      <w:r w:rsidRPr="00986DAB">
        <w:rPr>
          <w:rFonts w:ascii="Times New Roman" w:eastAsia="Times New Roman" w:hAnsi="Times New Roman" w:cs="Times New Roman"/>
          <w:b/>
          <w:bCs/>
          <w:i/>
          <w:color w:val="002060"/>
          <w:sz w:val="24"/>
          <w:szCs w:val="24"/>
          <w:lang w:val="en-GB" w:eastAsia="el-GR"/>
        </w:rPr>
        <w:t xml:space="preserve">B. </w:t>
      </w:r>
      <w:r w:rsidR="00CB33B4" w:rsidRPr="00986DAB">
        <w:rPr>
          <w:rFonts w:ascii="Times New Roman" w:eastAsia="Times New Roman" w:hAnsi="Times New Roman" w:cs="Times New Roman"/>
          <w:b/>
          <w:bCs/>
          <w:i/>
          <w:color w:val="002060"/>
          <w:sz w:val="24"/>
          <w:szCs w:val="24"/>
          <w:lang w:val="en-GB" w:eastAsia="el-GR"/>
        </w:rPr>
        <w:t>Assigning a project to an ESG risk category</w:t>
      </w:r>
    </w:p>
    <w:p w14:paraId="4BD1BF8F"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Potential and existing projects are categorised based on their ESG risk level. This categorisation is determined based on eight factors:</w:t>
      </w:r>
    </w:p>
    <w:p w14:paraId="48AEA086"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t>Loan amount</w:t>
      </w:r>
    </w:p>
    <w:p w14:paraId="6E510AC5"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t>Loan term</w:t>
      </w:r>
    </w:p>
    <w:p w14:paraId="36171C75"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t>Loan/project type</w:t>
      </w:r>
    </w:p>
    <w:p w14:paraId="2FAB75C5"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t>Purpose of loan</w:t>
      </w:r>
    </w:p>
    <w:p w14:paraId="5FD1C20F"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t>Industry</w:t>
      </w:r>
    </w:p>
    <w:p w14:paraId="0D0E9BD5"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t>Proximity to environmentally sensitive areas</w:t>
      </w:r>
    </w:p>
    <w:p w14:paraId="047D00D1"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t>Potentially irreversible consequences</w:t>
      </w:r>
    </w:p>
    <w:p w14:paraId="4A94FB83"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t>Scale of environmental and social problems</w:t>
      </w:r>
    </w:p>
    <w:p w14:paraId="5081A329" w14:textId="0FBB3FB0"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As a result of determining the ESG </w:t>
      </w:r>
      <w:proofErr w:type="gramStart"/>
      <w:r w:rsidRPr="00986DAB">
        <w:rPr>
          <w:rFonts w:ascii="Times New Roman" w:eastAsia="Times New Roman" w:hAnsi="Times New Roman" w:cs="Times New Roman"/>
          <w:bCs/>
          <w:color w:val="002060"/>
          <w:sz w:val="24"/>
          <w:szCs w:val="24"/>
          <w:lang w:val="en-GB" w:eastAsia="el-GR"/>
        </w:rPr>
        <w:t>risk</w:t>
      </w:r>
      <w:proofErr w:type="gramEnd"/>
      <w:r w:rsidRPr="00986DAB">
        <w:rPr>
          <w:rFonts w:ascii="Times New Roman" w:eastAsia="Times New Roman" w:hAnsi="Times New Roman" w:cs="Times New Roman"/>
          <w:bCs/>
          <w:color w:val="002060"/>
          <w:sz w:val="24"/>
          <w:szCs w:val="24"/>
          <w:lang w:val="en-GB" w:eastAsia="el-GR"/>
        </w:rPr>
        <w:t xml:space="preserve"> level (see </w:t>
      </w:r>
      <w:r w:rsidR="00E91470">
        <w:rPr>
          <w:rFonts w:ascii="Times New Roman" w:eastAsia="Times New Roman" w:hAnsi="Times New Roman" w:cs="Times New Roman"/>
          <w:bCs/>
          <w:color w:val="002060"/>
          <w:sz w:val="24"/>
          <w:szCs w:val="24"/>
          <w:lang w:val="en-GB" w:eastAsia="el-GR"/>
        </w:rPr>
        <w:t>Annex</w:t>
      </w:r>
      <w:r w:rsidRPr="00986DAB">
        <w:rPr>
          <w:rFonts w:ascii="Times New Roman" w:eastAsia="Times New Roman" w:hAnsi="Times New Roman" w:cs="Times New Roman"/>
          <w:bCs/>
          <w:color w:val="002060"/>
          <w:sz w:val="24"/>
          <w:szCs w:val="24"/>
          <w:lang w:val="en-GB" w:eastAsia="el-GR"/>
        </w:rPr>
        <w:t xml:space="preserve"> E), each project/loan falls into one of the following three categories:</w:t>
      </w:r>
    </w:p>
    <w:p w14:paraId="185D3C2E" w14:textId="77777777" w:rsidR="00CB33B4" w:rsidRPr="00986DAB" w:rsidRDefault="00CB33B4" w:rsidP="00FD2185">
      <w:pPr>
        <w:pStyle w:val="ListParagraph"/>
        <w:numPr>
          <w:ilvl w:val="0"/>
          <w:numId w:val="25"/>
        </w:numPr>
        <w:spacing w:after="0"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Low risk (Category C)</w:t>
      </w:r>
      <w:r w:rsidRPr="00986DAB">
        <w:rPr>
          <w:rFonts w:ascii="Times New Roman" w:eastAsia="Times New Roman" w:hAnsi="Times New Roman" w:cs="Times New Roman"/>
          <w:bCs/>
          <w:color w:val="002060"/>
          <w:sz w:val="24"/>
          <w:szCs w:val="24"/>
          <w:lang w:val="en-GB" w:eastAsia="el-GR"/>
        </w:rPr>
        <w:t>: A project with minimal or no negative impact on the social sphere and the environment.</w:t>
      </w:r>
    </w:p>
    <w:p w14:paraId="4BDA73D9" w14:textId="77777777" w:rsidR="00CB33B4" w:rsidRPr="00986DAB" w:rsidRDefault="00CB33B4" w:rsidP="00FD2185">
      <w:pPr>
        <w:pStyle w:val="ListParagraph"/>
        <w:numPr>
          <w:ilvl w:val="0"/>
          <w:numId w:val="25"/>
        </w:numPr>
        <w:spacing w:after="0"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Medium risk (Category B)</w:t>
      </w:r>
      <w:r w:rsidRPr="00986DAB">
        <w:rPr>
          <w:rFonts w:ascii="Times New Roman" w:eastAsia="Times New Roman" w:hAnsi="Times New Roman" w:cs="Times New Roman"/>
          <w:bCs/>
          <w:color w:val="002060"/>
          <w:sz w:val="24"/>
          <w:szCs w:val="24"/>
          <w:lang w:val="en-GB" w:eastAsia="el-GR"/>
        </w:rPr>
        <w:t xml:space="preserve">: A project with potentially limited negative social or environmental impact, which is few in number, usually specific to a particular site, largely reversible and </w:t>
      </w:r>
      <w:proofErr w:type="gramStart"/>
      <w:r w:rsidRPr="00986DAB">
        <w:rPr>
          <w:rFonts w:ascii="Times New Roman" w:eastAsia="Times New Roman" w:hAnsi="Times New Roman" w:cs="Times New Roman"/>
          <w:bCs/>
          <w:color w:val="002060"/>
          <w:sz w:val="24"/>
          <w:szCs w:val="24"/>
          <w:lang w:val="en-GB" w:eastAsia="el-GR"/>
        </w:rPr>
        <w:t>can be easily remedied</w:t>
      </w:r>
      <w:proofErr w:type="gramEnd"/>
      <w:r w:rsidRPr="00986DAB">
        <w:rPr>
          <w:rFonts w:ascii="Times New Roman" w:eastAsia="Times New Roman" w:hAnsi="Times New Roman" w:cs="Times New Roman"/>
          <w:bCs/>
          <w:color w:val="002060"/>
          <w:sz w:val="24"/>
          <w:szCs w:val="24"/>
          <w:lang w:val="en-GB" w:eastAsia="el-GR"/>
        </w:rPr>
        <w:t xml:space="preserve"> through mitigation measures.</w:t>
      </w:r>
    </w:p>
    <w:p w14:paraId="169B1C15" w14:textId="77777777" w:rsidR="00CB33B4" w:rsidRPr="00986DAB" w:rsidRDefault="00CB33B4" w:rsidP="00FD2185">
      <w:pPr>
        <w:pStyle w:val="ListParagraph"/>
        <w:numPr>
          <w:ilvl w:val="0"/>
          <w:numId w:val="25"/>
        </w:numPr>
        <w:spacing w:after="0"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High risk (Category A)</w:t>
      </w:r>
      <w:r w:rsidRPr="00986DAB">
        <w:rPr>
          <w:rFonts w:ascii="Times New Roman" w:eastAsia="Times New Roman" w:hAnsi="Times New Roman" w:cs="Times New Roman"/>
          <w:bCs/>
          <w:color w:val="002060"/>
          <w:sz w:val="24"/>
          <w:szCs w:val="24"/>
          <w:lang w:val="en-GB" w:eastAsia="el-GR"/>
        </w:rPr>
        <w:t>: A project with potentially significant negative social or environmental impacts that are diverse, irreversible and unprecedented.</w:t>
      </w:r>
    </w:p>
    <w:p w14:paraId="579119B5"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For low-risk projects, the client's proposed activities </w:t>
      </w:r>
      <w:proofErr w:type="gramStart"/>
      <w:r w:rsidRPr="00986DAB">
        <w:rPr>
          <w:rFonts w:ascii="Times New Roman" w:eastAsia="Times New Roman" w:hAnsi="Times New Roman" w:cs="Times New Roman"/>
          <w:bCs/>
          <w:color w:val="002060"/>
          <w:sz w:val="24"/>
          <w:szCs w:val="24"/>
          <w:lang w:val="en-GB" w:eastAsia="el-GR"/>
        </w:rPr>
        <w:t>are reviewed</w:t>
      </w:r>
      <w:proofErr w:type="gramEnd"/>
      <w:r w:rsidRPr="00986DAB">
        <w:rPr>
          <w:rFonts w:ascii="Times New Roman" w:eastAsia="Times New Roman" w:hAnsi="Times New Roman" w:cs="Times New Roman"/>
          <w:bCs/>
          <w:color w:val="002060"/>
          <w:sz w:val="24"/>
          <w:szCs w:val="24"/>
          <w:lang w:val="en-GB" w:eastAsia="el-GR"/>
        </w:rPr>
        <w:t xml:space="preserve"> for compliance with national environmental and social laws and regulations. Medium- and high-risk projects undergo a more analytical environmental and social assessment process, as described in Section C.</w:t>
      </w:r>
    </w:p>
    <w:p w14:paraId="74942AEA" w14:textId="7A8DBA1B" w:rsidR="00CB33B4" w:rsidRPr="00353ECA" w:rsidRDefault="00CB33B4" w:rsidP="00353ECA">
      <w:pPr>
        <w:pStyle w:val="ListParagraph"/>
        <w:numPr>
          <w:ilvl w:val="0"/>
          <w:numId w:val="29"/>
        </w:numPr>
        <w:spacing w:after="0" w:line="240" w:lineRule="auto"/>
        <w:jc w:val="both"/>
        <w:rPr>
          <w:rFonts w:ascii="Times New Roman" w:eastAsia="Times New Roman" w:hAnsi="Times New Roman" w:cs="Times New Roman"/>
          <w:b/>
          <w:bCs/>
          <w:i/>
          <w:color w:val="002060"/>
          <w:sz w:val="24"/>
          <w:szCs w:val="24"/>
          <w:lang w:val="en-GB" w:eastAsia="el-GR"/>
        </w:rPr>
      </w:pPr>
      <w:r w:rsidRPr="00353ECA">
        <w:rPr>
          <w:rFonts w:ascii="Times New Roman" w:eastAsia="Times New Roman" w:hAnsi="Times New Roman" w:cs="Times New Roman"/>
          <w:b/>
          <w:bCs/>
          <w:i/>
          <w:color w:val="002060"/>
          <w:sz w:val="24"/>
          <w:szCs w:val="24"/>
          <w:lang w:val="en-GB" w:eastAsia="el-GR"/>
        </w:rPr>
        <w:t>Conducting a legal audit of the project to assess environmental and social risks</w:t>
      </w:r>
    </w:p>
    <w:p w14:paraId="733F3E01"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At this stage, potential clients must provide all necessary documentation in accordance with national environmental, social and administrative legislation (e.g., the Laws of Ukraine "On Environmental Protection," "On State Social Standards and State Social Guarantees," the Labour Code, etc.) in accordance with the specifics of the project at the request of the credit specialist.</w:t>
      </w:r>
    </w:p>
    <w:p w14:paraId="5C3A94E3"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If the project/client does not comply with all applicable local, departmental, and national laws on environmental protection, health, and safety, it must develop a corrective action plan (including periodic reporting and monitoring) within a reasonable </w:t>
      </w:r>
      <w:proofErr w:type="gramStart"/>
      <w:r w:rsidRPr="00986DAB">
        <w:rPr>
          <w:rFonts w:ascii="Times New Roman" w:eastAsia="Times New Roman" w:hAnsi="Times New Roman" w:cs="Times New Roman"/>
          <w:bCs/>
          <w:color w:val="002060"/>
          <w:sz w:val="24"/>
          <w:szCs w:val="24"/>
          <w:lang w:val="en-GB" w:eastAsia="el-GR"/>
        </w:rPr>
        <w:t>time frame</w:t>
      </w:r>
      <w:proofErr w:type="gramEnd"/>
      <w:r w:rsidRPr="00986DAB">
        <w:rPr>
          <w:rFonts w:ascii="Times New Roman" w:eastAsia="Times New Roman" w:hAnsi="Times New Roman" w:cs="Times New Roman"/>
          <w:bCs/>
          <w:color w:val="002060"/>
          <w:sz w:val="24"/>
          <w:szCs w:val="24"/>
          <w:lang w:val="en-GB" w:eastAsia="el-GR"/>
        </w:rPr>
        <w:t>, which must be included in the loan agreement as a condition for the provision of funds.</w:t>
      </w:r>
    </w:p>
    <w:p w14:paraId="4E6EB14A" w14:textId="3CD7ADD2" w:rsidR="00CB33B4" w:rsidRPr="00986DAB" w:rsidRDefault="00FD2185" w:rsidP="00FD2185">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If the project/client does not have </w:t>
      </w:r>
      <w:r w:rsidR="00CB33B4" w:rsidRPr="00986DAB">
        <w:rPr>
          <w:rFonts w:ascii="Times New Roman" w:eastAsia="Times New Roman" w:hAnsi="Times New Roman" w:cs="Times New Roman"/>
          <w:bCs/>
          <w:color w:val="002060"/>
          <w:sz w:val="24"/>
          <w:szCs w:val="24"/>
          <w:lang w:val="en-GB" w:eastAsia="el-GR"/>
        </w:rPr>
        <w:t xml:space="preserve">all </w:t>
      </w:r>
      <w:r w:rsidR="0008078C">
        <w:rPr>
          <w:rFonts w:ascii="Times New Roman" w:eastAsia="Times New Roman" w:hAnsi="Times New Roman" w:cs="Times New Roman"/>
          <w:bCs/>
          <w:color w:val="002060"/>
          <w:sz w:val="24"/>
          <w:szCs w:val="24"/>
          <w:lang w:val="en-GB" w:eastAsia="el-GR"/>
        </w:rPr>
        <w:t xml:space="preserve">the necessary permits or </w:t>
      </w:r>
      <w:r w:rsidRPr="00986DAB">
        <w:rPr>
          <w:rFonts w:ascii="Times New Roman" w:eastAsia="Times New Roman" w:hAnsi="Times New Roman" w:cs="Times New Roman"/>
          <w:bCs/>
          <w:color w:val="002060"/>
          <w:sz w:val="24"/>
          <w:szCs w:val="24"/>
          <w:lang w:val="en-GB" w:eastAsia="el-GR"/>
        </w:rPr>
        <w:t xml:space="preserve">they </w:t>
      </w:r>
      <w:r w:rsidR="00CB33B4" w:rsidRPr="00986DAB">
        <w:rPr>
          <w:rFonts w:ascii="Times New Roman" w:eastAsia="Times New Roman" w:hAnsi="Times New Roman" w:cs="Times New Roman"/>
          <w:bCs/>
          <w:color w:val="002060"/>
          <w:sz w:val="24"/>
          <w:szCs w:val="24"/>
          <w:lang w:val="en-GB" w:eastAsia="el-GR"/>
        </w:rPr>
        <w:t>are not up to date, it must obtain/renew existing permits before proceeding with financing.</w:t>
      </w:r>
    </w:p>
    <w:p w14:paraId="07944225" w14:textId="77777777" w:rsidR="00CB33B4" w:rsidRPr="00986DAB" w:rsidRDefault="00CB33B4" w:rsidP="00FD2185">
      <w:pPr>
        <w:pStyle w:val="ListParagraph"/>
        <w:numPr>
          <w:ilvl w:val="0"/>
          <w:numId w:val="26"/>
        </w:numPr>
        <w:spacing w:after="0" w:line="240" w:lineRule="auto"/>
        <w:jc w:val="both"/>
        <w:rPr>
          <w:rFonts w:ascii="Times New Roman" w:eastAsia="Times New Roman" w:hAnsi="Times New Roman" w:cs="Times New Roman"/>
          <w:b/>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MEDIUM RISK PROJECT</w:t>
      </w:r>
    </w:p>
    <w:p w14:paraId="5DBA4C3F" w14:textId="611D6A58"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For medium-risk projects, the client's activities </w:t>
      </w:r>
      <w:proofErr w:type="gramStart"/>
      <w:r w:rsidRPr="00986DAB">
        <w:rPr>
          <w:rFonts w:ascii="Times New Roman" w:eastAsia="Times New Roman" w:hAnsi="Times New Roman" w:cs="Times New Roman"/>
          <w:bCs/>
          <w:color w:val="002060"/>
          <w:sz w:val="24"/>
          <w:szCs w:val="24"/>
          <w:lang w:val="en-GB" w:eastAsia="el-GR"/>
        </w:rPr>
        <w:t>are reviewed</w:t>
      </w:r>
      <w:proofErr w:type="gramEnd"/>
      <w:r w:rsidRPr="00986DAB">
        <w:rPr>
          <w:rFonts w:ascii="Times New Roman" w:eastAsia="Times New Roman" w:hAnsi="Times New Roman" w:cs="Times New Roman"/>
          <w:bCs/>
          <w:color w:val="002060"/>
          <w:sz w:val="24"/>
          <w:szCs w:val="24"/>
          <w:lang w:val="en-GB" w:eastAsia="el-GR"/>
        </w:rPr>
        <w:t xml:space="preserve"> for compliance with national environmental and social laws and regulations, as well as existing permits. To this end, the relevant </w:t>
      </w:r>
      <w:r w:rsidRPr="00986DAB">
        <w:rPr>
          <w:rFonts w:ascii="Times New Roman" w:eastAsia="Times New Roman" w:hAnsi="Times New Roman" w:cs="Times New Roman"/>
          <w:bCs/>
          <w:color w:val="002060"/>
          <w:sz w:val="24"/>
          <w:szCs w:val="24"/>
          <w:lang w:val="en-GB" w:eastAsia="el-GR"/>
        </w:rPr>
        <w:lastRenderedPageBreak/>
        <w:t xml:space="preserve">national documentation serves as the basis for such analysis. In some cases exceeding the threshold specified in </w:t>
      </w:r>
      <w:r w:rsidR="00E91470">
        <w:rPr>
          <w:rFonts w:ascii="Times New Roman" w:eastAsia="Times New Roman" w:hAnsi="Times New Roman" w:cs="Times New Roman"/>
          <w:bCs/>
          <w:color w:val="002060"/>
          <w:sz w:val="24"/>
          <w:szCs w:val="24"/>
          <w:lang w:val="en-GB" w:eastAsia="el-GR"/>
        </w:rPr>
        <w:t>Annex</w:t>
      </w:r>
      <w:r w:rsidRPr="00986DAB">
        <w:rPr>
          <w:rFonts w:ascii="Times New Roman" w:eastAsia="Times New Roman" w:hAnsi="Times New Roman" w:cs="Times New Roman"/>
          <w:bCs/>
          <w:color w:val="002060"/>
          <w:sz w:val="24"/>
          <w:szCs w:val="24"/>
          <w:lang w:val="en-GB" w:eastAsia="el-GR"/>
        </w:rPr>
        <w:t xml:space="preserve"> C, a site visit </w:t>
      </w:r>
      <w:proofErr w:type="gramStart"/>
      <w:r w:rsidRPr="00986DAB">
        <w:rPr>
          <w:rFonts w:ascii="Times New Roman" w:eastAsia="Times New Roman" w:hAnsi="Times New Roman" w:cs="Times New Roman"/>
          <w:bCs/>
          <w:color w:val="002060"/>
          <w:sz w:val="24"/>
          <w:szCs w:val="24"/>
          <w:lang w:val="en-GB" w:eastAsia="el-GR"/>
        </w:rPr>
        <w:t>is conducted</w:t>
      </w:r>
      <w:proofErr w:type="gramEnd"/>
      <w:r w:rsidRPr="00986DAB">
        <w:rPr>
          <w:rFonts w:ascii="Times New Roman" w:eastAsia="Times New Roman" w:hAnsi="Times New Roman" w:cs="Times New Roman"/>
          <w:bCs/>
          <w:color w:val="002060"/>
          <w:sz w:val="24"/>
          <w:szCs w:val="24"/>
          <w:lang w:val="en-GB" w:eastAsia="el-GR"/>
        </w:rPr>
        <w:t xml:space="preserve"> during the credit application review stage and annually to identify potential environmental, social and governance impacts.</w:t>
      </w:r>
    </w:p>
    <w:p w14:paraId="4F0BFFAD" w14:textId="63815A1F"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In some cases, particularly those involving compliance with international standards, projects exceeding the thresholds specified in </w:t>
      </w:r>
      <w:r w:rsidR="00E91470">
        <w:rPr>
          <w:rFonts w:ascii="Times New Roman" w:eastAsia="Times New Roman" w:hAnsi="Times New Roman" w:cs="Times New Roman"/>
          <w:bCs/>
          <w:color w:val="002060"/>
          <w:sz w:val="24"/>
          <w:szCs w:val="24"/>
          <w:lang w:val="en-GB" w:eastAsia="el-GR"/>
        </w:rPr>
        <w:t>Annex</w:t>
      </w:r>
      <w:r w:rsidRPr="00986DAB">
        <w:rPr>
          <w:rFonts w:ascii="Times New Roman" w:eastAsia="Times New Roman" w:hAnsi="Times New Roman" w:cs="Times New Roman"/>
          <w:bCs/>
          <w:color w:val="002060"/>
          <w:sz w:val="24"/>
          <w:szCs w:val="24"/>
          <w:lang w:val="en-GB" w:eastAsia="el-GR"/>
        </w:rPr>
        <w:t xml:space="preserve"> C may require the involvement of an external independent technical consultant, who </w:t>
      </w:r>
      <w:proofErr w:type="gramStart"/>
      <w:r w:rsidRPr="00986DAB">
        <w:rPr>
          <w:rFonts w:ascii="Times New Roman" w:eastAsia="Times New Roman" w:hAnsi="Times New Roman" w:cs="Times New Roman"/>
          <w:bCs/>
          <w:color w:val="002060"/>
          <w:sz w:val="24"/>
          <w:szCs w:val="24"/>
          <w:lang w:val="en-GB" w:eastAsia="el-GR"/>
        </w:rPr>
        <w:t>is approved</w:t>
      </w:r>
      <w:proofErr w:type="gramEnd"/>
      <w:r w:rsidRPr="00986DAB">
        <w:rPr>
          <w:rFonts w:ascii="Times New Roman" w:eastAsia="Times New Roman" w:hAnsi="Times New Roman" w:cs="Times New Roman"/>
          <w:bCs/>
          <w:color w:val="002060"/>
          <w:sz w:val="24"/>
          <w:szCs w:val="24"/>
          <w:lang w:val="en-GB" w:eastAsia="el-GR"/>
        </w:rPr>
        <w:t xml:space="preserve"> by the ESG officer.</w:t>
      </w:r>
    </w:p>
    <w:p w14:paraId="1A5C742E" w14:textId="3D506D06" w:rsidR="00CB33B4" w:rsidRPr="00986DAB" w:rsidRDefault="00CB33B4" w:rsidP="00FD2185">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Environmental and social risks identified during the site visit </w:t>
      </w:r>
      <w:proofErr w:type="gramStart"/>
      <w:r w:rsidRPr="00986DAB">
        <w:rPr>
          <w:rFonts w:ascii="Times New Roman" w:eastAsia="Times New Roman" w:hAnsi="Times New Roman" w:cs="Times New Roman"/>
          <w:bCs/>
          <w:color w:val="002060"/>
          <w:sz w:val="24"/>
          <w:szCs w:val="24"/>
          <w:lang w:val="en-GB" w:eastAsia="el-GR"/>
        </w:rPr>
        <w:t>ar</w:t>
      </w:r>
      <w:r w:rsidR="00902CF2">
        <w:rPr>
          <w:rFonts w:ascii="Times New Roman" w:eastAsia="Times New Roman" w:hAnsi="Times New Roman" w:cs="Times New Roman"/>
          <w:bCs/>
          <w:color w:val="002060"/>
          <w:sz w:val="24"/>
          <w:szCs w:val="24"/>
          <w:lang w:val="en-GB" w:eastAsia="el-GR"/>
        </w:rPr>
        <w:t>e recorded</w:t>
      </w:r>
      <w:proofErr w:type="gramEnd"/>
      <w:r w:rsidR="00902CF2">
        <w:rPr>
          <w:rFonts w:ascii="Times New Roman" w:eastAsia="Times New Roman" w:hAnsi="Times New Roman" w:cs="Times New Roman"/>
          <w:bCs/>
          <w:color w:val="002060"/>
          <w:sz w:val="24"/>
          <w:szCs w:val="24"/>
          <w:lang w:val="en-GB" w:eastAsia="el-GR"/>
        </w:rPr>
        <w:t xml:space="preserve"> in the </w:t>
      </w:r>
      <w:r w:rsidR="00902CF2" w:rsidRPr="00902CF2">
        <w:rPr>
          <w:rFonts w:ascii="Times New Roman" w:eastAsia="Times New Roman" w:hAnsi="Times New Roman" w:cs="Times New Roman"/>
          <w:bCs/>
          <w:color w:val="002060"/>
          <w:sz w:val="24"/>
          <w:szCs w:val="24"/>
          <w:lang w:val="en-GB" w:eastAsia="el-GR"/>
        </w:rPr>
        <w:t>Client and Characteristics Description and Assessment Form</w:t>
      </w:r>
      <w:r w:rsidRPr="00986DAB">
        <w:rPr>
          <w:rFonts w:ascii="Times New Roman" w:eastAsia="Times New Roman" w:hAnsi="Times New Roman" w:cs="Times New Roman"/>
          <w:bCs/>
          <w:color w:val="002060"/>
          <w:sz w:val="24"/>
          <w:szCs w:val="24"/>
          <w:lang w:val="en-GB" w:eastAsia="el-GR"/>
        </w:rPr>
        <w:t xml:space="preserve"> (Annex D). In the event of unjustified risks, an in-depth assessment (comprehensive review) </w:t>
      </w:r>
      <w:proofErr w:type="gramStart"/>
      <w:r w:rsidRPr="00986DAB">
        <w:rPr>
          <w:rFonts w:ascii="Times New Roman" w:eastAsia="Times New Roman" w:hAnsi="Times New Roman" w:cs="Times New Roman"/>
          <w:bCs/>
          <w:color w:val="002060"/>
          <w:sz w:val="24"/>
          <w:szCs w:val="24"/>
          <w:lang w:val="en-GB" w:eastAsia="el-GR"/>
        </w:rPr>
        <w:t>is conducted</w:t>
      </w:r>
      <w:proofErr w:type="gramEnd"/>
      <w:r w:rsidRPr="00986DAB">
        <w:rPr>
          <w:rFonts w:ascii="Times New Roman" w:eastAsia="Times New Roman" w:hAnsi="Times New Roman" w:cs="Times New Roman"/>
          <w:bCs/>
          <w:color w:val="002060"/>
          <w:sz w:val="24"/>
          <w:szCs w:val="24"/>
          <w:lang w:val="en-GB" w:eastAsia="el-GR"/>
        </w:rPr>
        <w:t xml:space="preserve"> and a corrective action plan is agreed with the client. The comprehensive review report ("Client and Project Description and Assessment Form") and the agreed corrective action plan aimed at reducing unjustified risks are part of the documentation required for consideration during the final approval of the loan. If necessary, the corrective action plan is included in the loan agreement with the client. In addition, the loan agreement specifically mentions the client's obligation to submit a compliance report (in any form) on the integration of measures into its activities, as well as to promptly and timely (within 3 days of occurrence) notify the Bank of any serious accidents or incidents.</w:t>
      </w:r>
    </w:p>
    <w:p w14:paraId="67E1C480" w14:textId="77777777" w:rsidR="00CB33B4" w:rsidRPr="00986DAB" w:rsidRDefault="00CB33B4" w:rsidP="00FD2185">
      <w:pPr>
        <w:pStyle w:val="ListParagraph"/>
        <w:numPr>
          <w:ilvl w:val="0"/>
          <w:numId w:val="26"/>
        </w:numPr>
        <w:spacing w:after="0" w:line="240" w:lineRule="auto"/>
        <w:jc w:val="both"/>
        <w:rPr>
          <w:rFonts w:ascii="Times New Roman" w:eastAsia="Times New Roman" w:hAnsi="Times New Roman" w:cs="Times New Roman"/>
          <w:b/>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HIGH-RISK</w:t>
      </w:r>
      <w:r w:rsidR="00FD2185" w:rsidRPr="00986DAB">
        <w:rPr>
          <w:rFonts w:ascii="Times New Roman" w:eastAsia="Times New Roman" w:hAnsi="Times New Roman" w:cs="Times New Roman"/>
          <w:b/>
          <w:bCs/>
          <w:color w:val="002060"/>
          <w:sz w:val="24"/>
          <w:szCs w:val="24"/>
          <w:lang w:val="en-GB" w:eastAsia="el-GR"/>
        </w:rPr>
        <w:t xml:space="preserve"> PROJECT</w:t>
      </w:r>
    </w:p>
    <w:p w14:paraId="5B3C60C1" w14:textId="51586C52"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High-risk projects </w:t>
      </w:r>
      <w:proofErr w:type="gramStart"/>
      <w:r w:rsidRPr="00986DAB">
        <w:rPr>
          <w:rFonts w:ascii="Times New Roman" w:eastAsia="Times New Roman" w:hAnsi="Times New Roman" w:cs="Times New Roman"/>
          <w:bCs/>
          <w:color w:val="002060"/>
          <w:sz w:val="24"/>
          <w:szCs w:val="24"/>
          <w:lang w:val="en-GB" w:eastAsia="el-GR"/>
        </w:rPr>
        <w:t>are checked</w:t>
      </w:r>
      <w:proofErr w:type="gramEnd"/>
      <w:r w:rsidRPr="00986DAB">
        <w:rPr>
          <w:rFonts w:ascii="Times New Roman" w:eastAsia="Times New Roman" w:hAnsi="Times New Roman" w:cs="Times New Roman"/>
          <w:bCs/>
          <w:color w:val="002060"/>
          <w:sz w:val="24"/>
          <w:szCs w:val="24"/>
          <w:lang w:val="en-GB" w:eastAsia="el-GR"/>
        </w:rPr>
        <w:t xml:space="preserve"> for compliance with national environmental, social and governance laws and regulations. To this end, the relevant national documentation serves as the basis for such analysis. </w:t>
      </w:r>
      <w:proofErr w:type="gramStart"/>
      <w:r w:rsidRPr="00986DAB">
        <w:rPr>
          <w:rFonts w:ascii="Times New Roman" w:eastAsia="Times New Roman" w:hAnsi="Times New Roman" w:cs="Times New Roman"/>
          <w:bCs/>
          <w:color w:val="002060"/>
          <w:sz w:val="24"/>
          <w:szCs w:val="24"/>
          <w:lang w:val="en-GB" w:eastAsia="el-GR"/>
        </w:rPr>
        <w:t xml:space="preserve">For more complex high-risk projects that exceed the thresholds specified in </w:t>
      </w:r>
      <w:r w:rsidR="00E91470">
        <w:rPr>
          <w:rFonts w:ascii="Times New Roman" w:eastAsia="Times New Roman" w:hAnsi="Times New Roman" w:cs="Times New Roman"/>
          <w:bCs/>
          <w:color w:val="002060"/>
          <w:sz w:val="24"/>
          <w:szCs w:val="24"/>
          <w:lang w:val="en-GB" w:eastAsia="el-GR"/>
        </w:rPr>
        <w:t>Annex</w:t>
      </w:r>
      <w:r w:rsidRPr="00986DAB">
        <w:rPr>
          <w:rFonts w:ascii="Times New Roman" w:eastAsia="Times New Roman" w:hAnsi="Times New Roman" w:cs="Times New Roman"/>
          <w:bCs/>
          <w:color w:val="002060"/>
          <w:sz w:val="24"/>
          <w:szCs w:val="24"/>
          <w:lang w:val="en-GB" w:eastAsia="el-GR"/>
        </w:rPr>
        <w:t xml:space="preserve"> C,</w:t>
      </w:r>
      <w:proofErr w:type="gramEnd"/>
      <w:r w:rsidRPr="00986DAB">
        <w:rPr>
          <w:rFonts w:ascii="Times New Roman" w:eastAsia="Times New Roman" w:hAnsi="Times New Roman" w:cs="Times New Roman"/>
          <w:bCs/>
          <w:color w:val="002060"/>
          <w:sz w:val="24"/>
          <w:szCs w:val="24"/>
          <w:lang w:val="en-GB" w:eastAsia="el-GR"/>
        </w:rPr>
        <w:t xml:space="preserve"> an additional check for compliance with international standards is carried out. For this level of risk, site visits are conducted to familiarise oneself with the conditions and, if necessary, the assistance of an external independent technical consultant is enlisted, who is approved by the ESG officer.</w:t>
      </w:r>
    </w:p>
    <w:p w14:paraId="3658A86D" w14:textId="5557C134"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project description and key ESG risk parameters </w:t>
      </w:r>
      <w:proofErr w:type="gramStart"/>
      <w:r w:rsidRPr="00986DAB">
        <w:rPr>
          <w:rFonts w:ascii="Times New Roman" w:eastAsia="Times New Roman" w:hAnsi="Times New Roman" w:cs="Times New Roman"/>
          <w:bCs/>
          <w:color w:val="002060"/>
          <w:sz w:val="24"/>
          <w:szCs w:val="24"/>
          <w:lang w:val="en-GB" w:eastAsia="el-GR"/>
        </w:rPr>
        <w:t>are recorded</w:t>
      </w:r>
      <w:proofErr w:type="gramEnd"/>
      <w:r w:rsidRPr="00986DAB">
        <w:rPr>
          <w:rFonts w:ascii="Times New Roman" w:eastAsia="Times New Roman" w:hAnsi="Times New Roman" w:cs="Times New Roman"/>
          <w:bCs/>
          <w:color w:val="002060"/>
          <w:sz w:val="24"/>
          <w:szCs w:val="24"/>
          <w:lang w:val="en-GB" w:eastAsia="el-GR"/>
        </w:rPr>
        <w:t xml:space="preserve"> in the </w:t>
      </w:r>
      <w:r w:rsidR="00902CF2" w:rsidRPr="00902CF2">
        <w:rPr>
          <w:rFonts w:ascii="Times New Roman" w:eastAsia="Times New Roman" w:hAnsi="Times New Roman" w:cs="Times New Roman"/>
          <w:bCs/>
          <w:color w:val="002060"/>
          <w:sz w:val="24"/>
          <w:szCs w:val="24"/>
          <w:lang w:val="en-GB" w:eastAsia="el-GR"/>
        </w:rPr>
        <w:t>Client and Characteristics Description and Assessment Form</w:t>
      </w:r>
      <w:r w:rsidRPr="00986DAB">
        <w:rPr>
          <w:rFonts w:ascii="Times New Roman" w:eastAsia="Times New Roman" w:hAnsi="Times New Roman" w:cs="Times New Roman"/>
          <w:bCs/>
          <w:color w:val="002060"/>
          <w:sz w:val="24"/>
          <w:szCs w:val="24"/>
          <w:lang w:val="en-GB" w:eastAsia="el-GR"/>
        </w:rPr>
        <w:t xml:space="preserve"> (</w:t>
      </w:r>
      <w:r w:rsidR="00E91470">
        <w:rPr>
          <w:rFonts w:ascii="Times New Roman" w:eastAsia="Times New Roman" w:hAnsi="Times New Roman" w:cs="Times New Roman"/>
          <w:bCs/>
          <w:color w:val="002060"/>
          <w:sz w:val="24"/>
          <w:szCs w:val="24"/>
          <w:lang w:val="en-GB" w:eastAsia="el-GR"/>
        </w:rPr>
        <w:t>Annex</w:t>
      </w:r>
      <w:r w:rsidRPr="00986DAB">
        <w:rPr>
          <w:rFonts w:ascii="Times New Roman" w:eastAsia="Times New Roman" w:hAnsi="Times New Roman" w:cs="Times New Roman"/>
          <w:bCs/>
          <w:color w:val="002060"/>
          <w:sz w:val="24"/>
          <w:szCs w:val="24"/>
          <w:lang w:val="en-GB" w:eastAsia="el-GR"/>
        </w:rPr>
        <w:t xml:space="preserve"> D). Based on the recorded findings and relevant national documentation, an in-depth assessment (comprehensive review) </w:t>
      </w:r>
      <w:proofErr w:type="gramStart"/>
      <w:r w:rsidRPr="00986DAB">
        <w:rPr>
          <w:rFonts w:ascii="Times New Roman" w:eastAsia="Times New Roman" w:hAnsi="Times New Roman" w:cs="Times New Roman"/>
          <w:bCs/>
          <w:color w:val="002060"/>
          <w:sz w:val="24"/>
          <w:szCs w:val="24"/>
          <w:lang w:val="en-GB" w:eastAsia="el-GR"/>
        </w:rPr>
        <w:t>is conducted</w:t>
      </w:r>
      <w:proofErr w:type="gramEnd"/>
      <w:r w:rsidRPr="00986DAB">
        <w:rPr>
          <w:rFonts w:ascii="Times New Roman" w:eastAsia="Times New Roman" w:hAnsi="Times New Roman" w:cs="Times New Roman"/>
          <w:bCs/>
          <w:color w:val="002060"/>
          <w:sz w:val="24"/>
          <w:szCs w:val="24"/>
          <w:lang w:val="en-GB" w:eastAsia="el-GR"/>
        </w:rPr>
        <w:t xml:space="preserve"> to develop an environmental protection plan. This action plan </w:t>
      </w:r>
      <w:proofErr w:type="gramStart"/>
      <w:r w:rsidRPr="00986DAB">
        <w:rPr>
          <w:rFonts w:ascii="Times New Roman" w:eastAsia="Times New Roman" w:hAnsi="Times New Roman" w:cs="Times New Roman"/>
          <w:bCs/>
          <w:color w:val="002060"/>
          <w:sz w:val="24"/>
          <w:szCs w:val="24"/>
          <w:lang w:val="en-GB" w:eastAsia="el-GR"/>
        </w:rPr>
        <w:t>must be agreed</w:t>
      </w:r>
      <w:proofErr w:type="gramEnd"/>
      <w:r w:rsidRPr="00986DAB">
        <w:rPr>
          <w:rFonts w:ascii="Times New Roman" w:eastAsia="Times New Roman" w:hAnsi="Times New Roman" w:cs="Times New Roman"/>
          <w:bCs/>
          <w:color w:val="002060"/>
          <w:sz w:val="24"/>
          <w:szCs w:val="24"/>
          <w:lang w:val="en-GB" w:eastAsia="el-GR"/>
        </w:rPr>
        <w:t xml:space="preserve"> with the client. It should help prevent risks that the project may cause, reduce the overall risk or ensure and compensate for it to an acceptable level in accordance with the Bank's policy.</w:t>
      </w:r>
    </w:p>
    <w:p w14:paraId="02422F0C"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comprehensive environmental audit report and the agreed environmental action plan are part of the documentation to </w:t>
      </w:r>
      <w:proofErr w:type="gramStart"/>
      <w:r w:rsidRPr="00986DAB">
        <w:rPr>
          <w:rFonts w:ascii="Times New Roman" w:eastAsia="Times New Roman" w:hAnsi="Times New Roman" w:cs="Times New Roman"/>
          <w:bCs/>
          <w:color w:val="002060"/>
          <w:sz w:val="24"/>
          <w:szCs w:val="24"/>
          <w:lang w:val="en-GB" w:eastAsia="el-GR"/>
        </w:rPr>
        <w:t>be reviewed</w:t>
      </w:r>
      <w:proofErr w:type="gramEnd"/>
      <w:r w:rsidRPr="00986DAB">
        <w:rPr>
          <w:rFonts w:ascii="Times New Roman" w:eastAsia="Times New Roman" w:hAnsi="Times New Roman" w:cs="Times New Roman"/>
          <w:bCs/>
          <w:color w:val="002060"/>
          <w:sz w:val="24"/>
          <w:szCs w:val="24"/>
          <w:lang w:val="en-GB" w:eastAsia="el-GR"/>
        </w:rPr>
        <w:t xml:space="preserve"> during the final approval of the loan. If necessary, the action plan is included in the loan agreement with the client.</w:t>
      </w:r>
    </w:p>
    <w:p w14:paraId="4013A3D8"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proofErr w:type="gramStart"/>
      <w:r w:rsidRPr="00986DAB">
        <w:rPr>
          <w:rFonts w:ascii="Times New Roman" w:eastAsia="Times New Roman" w:hAnsi="Times New Roman" w:cs="Times New Roman"/>
          <w:bCs/>
          <w:color w:val="002060"/>
          <w:sz w:val="24"/>
          <w:szCs w:val="24"/>
          <w:lang w:val="en-GB" w:eastAsia="el-GR"/>
        </w:rPr>
        <w:t>After final loan approval, the relevant environmental and social commitments are included in the loan agreement, and specific reference is made to the client's obligation to report on compliance with the requirements for integrating risk management measures into its activities and to notify the Bank promptly and in a timely manner (within three days of occurrence) of any serious accidents or incidents.</w:t>
      </w:r>
      <w:proofErr w:type="gramEnd"/>
    </w:p>
    <w:p w14:paraId="4C81700F"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During the comprehensive review process, relevant information on high-risk projects is provided to interested parties upon request or </w:t>
      </w:r>
      <w:proofErr w:type="gramStart"/>
      <w:r w:rsidRPr="00986DAB">
        <w:rPr>
          <w:rFonts w:ascii="Times New Roman" w:eastAsia="Times New Roman" w:hAnsi="Times New Roman" w:cs="Times New Roman"/>
          <w:bCs/>
          <w:color w:val="002060"/>
          <w:sz w:val="24"/>
          <w:szCs w:val="24"/>
          <w:lang w:val="en-GB" w:eastAsia="el-GR"/>
        </w:rPr>
        <w:t>on the basis of</w:t>
      </w:r>
      <w:proofErr w:type="gramEnd"/>
      <w:r w:rsidRPr="00986DAB">
        <w:rPr>
          <w:rFonts w:ascii="Times New Roman" w:eastAsia="Times New Roman" w:hAnsi="Times New Roman" w:cs="Times New Roman"/>
          <w:bCs/>
          <w:color w:val="002060"/>
          <w:sz w:val="24"/>
          <w:szCs w:val="24"/>
          <w:lang w:val="en-GB" w:eastAsia="el-GR"/>
        </w:rPr>
        <w:t xml:space="preserve"> the Framework Agreement prior to the decision to grant a loan, and their recommendations, provided within the agreed time frame, are taken into account.</w:t>
      </w:r>
    </w:p>
    <w:p w14:paraId="1CB4D115"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All high-risk projects </w:t>
      </w:r>
      <w:proofErr w:type="gramStart"/>
      <w:r w:rsidRPr="00986DAB">
        <w:rPr>
          <w:rFonts w:ascii="Times New Roman" w:eastAsia="Times New Roman" w:hAnsi="Times New Roman" w:cs="Times New Roman"/>
          <w:bCs/>
          <w:color w:val="002060"/>
          <w:sz w:val="24"/>
          <w:szCs w:val="24"/>
          <w:lang w:val="en-GB" w:eastAsia="el-GR"/>
        </w:rPr>
        <w:t>must be reported</w:t>
      </w:r>
      <w:proofErr w:type="gramEnd"/>
      <w:r w:rsidRPr="00986DAB">
        <w:rPr>
          <w:rFonts w:ascii="Times New Roman" w:eastAsia="Times New Roman" w:hAnsi="Times New Roman" w:cs="Times New Roman"/>
          <w:bCs/>
          <w:color w:val="002060"/>
          <w:sz w:val="24"/>
          <w:szCs w:val="24"/>
          <w:lang w:val="en-GB" w:eastAsia="el-GR"/>
        </w:rPr>
        <w:t xml:space="preserve"> to the head office in Athens before the loan is approved at the local level.</w:t>
      </w:r>
    </w:p>
    <w:p w14:paraId="5FC5E01A" w14:textId="666C3943"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A flowchart of ESG risk assessment </w:t>
      </w:r>
      <w:proofErr w:type="gramStart"/>
      <w:r w:rsidRPr="00986DAB">
        <w:rPr>
          <w:rFonts w:ascii="Times New Roman" w:eastAsia="Times New Roman" w:hAnsi="Times New Roman" w:cs="Times New Roman"/>
          <w:bCs/>
          <w:color w:val="002060"/>
          <w:sz w:val="24"/>
          <w:szCs w:val="24"/>
          <w:lang w:val="en-GB" w:eastAsia="el-GR"/>
        </w:rPr>
        <w:t>is provided</w:t>
      </w:r>
      <w:proofErr w:type="gramEnd"/>
      <w:r w:rsidRPr="00986DAB">
        <w:rPr>
          <w:rFonts w:ascii="Times New Roman" w:eastAsia="Times New Roman" w:hAnsi="Times New Roman" w:cs="Times New Roman"/>
          <w:bCs/>
          <w:color w:val="002060"/>
          <w:sz w:val="24"/>
          <w:szCs w:val="24"/>
          <w:lang w:val="en-GB" w:eastAsia="el-GR"/>
        </w:rPr>
        <w:t xml:space="preserve"> in </w:t>
      </w:r>
      <w:r w:rsidR="00E91470">
        <w:rPr>
          <w:rFonts w:ascii="Times New Roman" w:eastAsia="Times New Roman" w:hAnsi="Times New Roman" w:cs="Times New Roman"/>
          <w:bCs/>
          <w:color w:val="002060"/>
          <w:sz w:val="24"/>
          <w:szCs w:val="24"/>
          <w:lang w:val="en-GB" w:eastAsia="el-GR"/>
        </w:rPr>
        <w:t>Annex</w:t>
      </w:r>
      <w:r w:rsidRPr="00986DAB">
        <w:rPr>
          <w:rFonts w:ascii="Times New Roman" w:eastAsia="Times New Roman" w:hAnsi="Times New Roman" w:cs="Times New Roman"/>
          <w:bCs/>
          <w:color w:val="002060"/>
          <w:sz w:val="24"/>
          <w:szCs w:val="24"/>
          <w:lang w:val="en-GB" w:eastAsia="el-GR"/>
        </w:rPr>
        <w:t xml:space="preserve"> A. </w:t>
      </w:r>
    </w:p>
    <w:p w14:paraId="45333E9B" w14:textId="77777777" w:rsidR="00CB33B4" w:rsidRPr="00986DAB" w:rsidRDefault="00FD2185" w:rsidP="00CB33B4">
      <w:pPr>
        <w:spacing w:after="0" w:line="240" w:lineRule="auto"/>
        <w:ind w:firstLine="567"/>
        <w:jc w:val="both"/>
        <w:rPr>
          <w:rFonts w:ascii="Times New Roman" w:eastAsia="Times New Roman" w:hAnsi="Times New Roman" w:cs="Times New Roman"/>
          <w:b/>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3</w:t>
      </w:r>
      <w:r w:rsidR="00CB33B4" w:rsidRPr="00986DAB">
        <w:rPr>
          <w:rFonts w:ascii="Times New Roman" w:eastAsia="Times New Roman" w:hAnsi="Times New Roman" w:cs="Times New Roman"/>
          <w:b/>
          <w:bCs/>
          <w:color w:val="002060"/>
          <w:sz w:val="24"/>
          <w:szCs w:val="24"/>
          <w:lang w:val="en-GB" w:eastAsia="el-GR"/>
        </w:rPr>
        <w:t>.3. MONITORING AND RECORD KEEPING</w:t>
      </w:r>
    </w:p>
    <w:p w14:paraId="59F58F22"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Bank conducts annual monitoring and assessment of the environmental, social and governance indicators of individual projects (as part of its annual review) to ensure ongoing </w:t>
      </w:r>
      <w:r w:rsidRPr="00986DAB">
        <w:rPr>
          <w:rFonts w:ascii="Times New Roman" w:eastAsia="Times New Roman" w:hAnsi="Times New Roman" w:cs="Times New Roman"/>
          <w:bCs/>
          <w:color w:val="002060"/>
          <w:sz w:val="24"/>
          <w:szCs w:val="24"/>
          <w:lang w:val="en-GB" w:eastAsia="el-GR"/>
        </w:rPr>
        <w:lastRenderedPageBreak/>
        <w:t>compliance with applicable requirements. Further monitoring may be required for projects with unjustified environmental, social and governance risks and/or risks with a high probability of occurrence.</w:t>
      </w:r>
    </w:p>
    <w:p w14:paraId="3C80E87D"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For each project, supporting documentation for environmental, social and governance due diligence is kept on file. This includes, for example, the national environmental impact assessment, initial screening of environmental and social aspects, the loan agreement, and reports on site visits. All documents are stored in the loan file in accordance with existing banking procedures.</w:t>
      </w:r>
    </w:p>
    <w:p w14:paraId="3863D4C8"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During the annual credit limit assessment, the Bank requests the reports specified in the credit agreement from the client and, if necessary, conducts a site visit. In case of non-compliance with the agreed action plan and applicable environmental, social and governance requirements, appropriate measures </w:t>
      </w:r>
      <w:proofErr w:type="gramStart"/>
      <w:r w:rsidRPr="00986DAB">
        <w:rPr>
          <w:rFonts w:ascii="Times New Roman" w:eastAsia="Times New Roman" w:hAnsi="Times New Roman" w:cs="Times New Roman"/>
          <w:bCs/>
          <w:color w:val="002060"/>
          <w:sz w:val="24"/>
          <w:szCs w:val="24"/>
          <w:lang w:val="en-GB" w:eastAsia="el-GR"/>
        </w:rPr>
        <w:t>are taken</w:t>
      </w:r>
      <w:proofErr w:type="gramEnd"/>
      <w:r w:rsidRPr="00986DAB">
        <w:rPr>
          <w:rFonts w:ascii="Times New Roman" w:eastAsia="Times New Roman" w:hAnsi="Times New Roman" w:cs="Times New Roman"/>
          <w:bCs/>
          <w:color w:val="002060"/>
          <w:sz w:val="24"/>
          <w:szCs w:val="24"/>
          <w:lang w:val="en-GB" w:eastAsia="el-GR"/>
        </w:rPr>
        <w:t>.</w:t>
      </w:r>
    </w:p>
    <w:p w14:paraId="68E6E089" w14:textId="22A66DA8" w:rsidR="00CB33B4" w:rsidRPr="00986DAB" w:rsidRDefault="00FD2185" w:rsidP="00CB33B4">
      <w:pPr>
        <w:spacing w:after="0" w:line="240" w:lineRule="auto"/>
        <w:ind w:firstLine="567"/>
        <w:jc w:val="both"/>
        <w:rPr>
          <w:rFonts w:ascii="Times New Roman" w:eastAsia="Times New Roman" w:hAnsi="Times New Roman" w:cs="Times New Roman"/>
          <w:b/>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3</w:t>
      </w:r>
      <w:r w:rsidR="00294AA0">
        <w:rPr>
          <w:rFonts w:ascii="Times New Roman" w:eastAsia="Times New Roman" w:hAnsi="Times New Roman" w:cs="Times New Roman"/>
          <w:b/>
          <w:bCs/>
          <w:color w:val="002060"/>
          <w:sz w:val="24"/>
          <w:szCs w:val="24"/>
          <w:lang w:val="en-GB" w:eastAsia="el-GR"/>
        </w:rPr>
        <w:t xml:space="preserve">.4. </w:t>
      </w:r>
      <w:r w:rsidR="00CB33B4" w:rsidRPr="00986DAB">
        <w:rPr>
          <w:rFonts w:ascii="Times New Roman" w:eastAsia="Times New Roman" w:hAnsi="Times New Roman" w:cs="Times New Roman"/>
          <w:b/>
          <w:bCs/>
          <w:color w:val="002060"/>
          <w:sz w:val="24"/>
          <w:szCs w:val="24"/>
          <w:lang w:val="en-GB" w:eastAsia="el-GR"/>
        </w:rPr>
        <w:t xml:space="preserve">ANALYSIS AND CONTINUOUS IMPROVEMENT OF </w:t>
      </w:r>
      <w:r w:rsidR="00991C8D" w:rsidRPr="00986DAB">
        <w:rPr>
          <w:rFonts w:ascii="Times New Roman" w:eastAsia="Times New Roman" w:hAnsi="Times New Roman" w:cs="Times New Roman"/>
          <w:b/>
          <w:bCs/>
          <w:color w:val="002060"/>
          <w:sz w:val="24"/>
          <w:szCs w:val="24"/>
          <w:lang w:val="en-GB" w:eastAsia="el-GR"/>
        </w:rPr>
        <w:t>ESMS</w:t>
      </w:r>
    </w:p>
    <w:p w14:paraId="7C40C67A" w14:textId="616CD705"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w:t>
      </w:r>
      <w:r w:rsidR="00991C8D" w:rsidRPr="00986DAB">
        <w:rPr>
          <w:rFonts w:ascii="Times New Roman" w:eastAsia="Times New Roman" w:hAnsi="Times New Roman" w:cs="Times New Roman"/>
          <w:bCs/>
          <w:color w:val="002060"/>
          <w:sz w:val="24"/>
          <w:szCs w:val="24"/>
          <w:lang w:val="en-GB" w:eastAsia="el-GR"/>
        </w:rPr>
        <w:t>ESMS</w:t>
      </w:r>
      <w:r w:rsidRPr="00986DAB">
        <w:rPr>
          <w:rFonts w:ascii="Times New Roman" w:eastAsia="Times New Roman" w:hAnsi="Times New Roman" w:cs="Times New Roman"/>
          <w:bCs/>
          <w:color w:val="002060"/>
          <w:sz w:val="24"/>
          <w:szCs w:val="24"/>
          <w:lang w:val="en-GB" w:eastAsia="el-GR"/>
        </w:rPr>
        <w:t xml:space="preserve"> </w:t>
      </w:r>
      <w:proofErr w:type="gramStart"/>
      <w:r w:rsidRPr="00986DAB">
        <w:rPr>
          <w:rFonts w:ascii="Times New Roman" w:eastAsia="Times New Roman" w:hAnsi="Times New Roman" w:cs="Times New Roman"/>
          <w:bCs/>
          <w:color w:val="002060"/>
          <w:sz w:val="24"/>
          <w:szCs w:val="24"/>
          <w:lang w:val="en-GB" w:eastAsia="el-GR"/>
        </w:rPr>
        <w:t>is reviewed</w:t>
      </w:r>
      <w:proofErr w:type="gramEnd"/>
      <w:r w:rsidRPr="00986DAB">
        <w:rPr>
          <w:rFonts w:ascii="Times New Roman" w:eastAsia="Times New Roman" w:hAnsi="Times New Roman" w:cs="Times New Roman"/>
          <w:bCs/>
          <w:color w:val="002060"/>
          <w:sz w:val="24"/>
          <w:szCs w:val="24"/>
          <w:lang w:val="en-GB" w:eastAsia="el-GR"/>
        </w:rPr>
        <w:t xml:space="preserve"> annually to ensure its relevance and effectiveness over time and to take into account the Bank's changing needs. This involves identifying potential difficulties related to the operational aspects of </w:t>
      </w:r>
      <w:r w:rsidR="00991C8D" w:rsidRPr="00986DAB">
        <w:rPr>
          <w:rFonts w:ascii="Times New Roman" w:eastAsia="Times New Roman" w:hAnsi="Times New Roman" w:cs="Times New Roman"/>
          <w:bCs/>
          <w:color w:val="002060"/>
          <w:sz w:val="24"/>
          <w:szCs w:val="24"/>
          <w:lang w:val="en-GB" w:eastAsia="el-GR"/>
        </w:rPr>
        <w:t>ESMS</w:t>
      </w:r>
      <w:r w:rsidRPr="00986DAB">
        <w:rPr>
          <w:rFonts w:ascii="Times New Roman" w:eastAsia="Times New Roman" w:hAnsi="Times New Roman" w:cs="Times New Roman"/>
          <w:bCs/>
          <w:color w:val="002060"/>
          <w:sz w:val="24"/>
          <w:szCs w:val="24"/>
          <w:lang w:val="en-GB" w:eastAsia="el-GR"/>
        </w:rPr>
        <w:t xml:space="preserve"> implementation and making the necessary changes. Reviewing the scope of </w:t>
      </w:r>
      <w:r w:rsidR="00991C8D" w:rsidRPr="00986DAB">
        <w:rPr>
          <w:rFonts w:ascii="Times New Roman" w:eastAsia="Times New Roman" w:hAnsi="Times New Roman" w:cs="Times New Roman"/>
          <w:bCs/>
          <w:color w:val="002060"/>
          <w:sz w:val="24"/>
          <w:szCs w:val="24"/>
          <w:lang w:val="en-GB" w:eastAsia="el-GR"/>
        </w:rPr>
        <w:t>ESMS</w:t>
      </w:r>
      <w:r w:rsidRPr="00986DAB">
        <w:rPr>
          <w:rFonts w:ascii="Times New Roman" w:eastAsia="Times New Roman" w:hAnsi="Times New Roman" w:cs="Times New Roman"/>
          <w:bCs/>
          <w:color w:val="002060"/>
          <w:sz w:val="24"/>
          <w:szCs w:val="24"/>
          <w:lang w:val="en-GB" w:eastAsia="el-GR"/>
        </w:rPr>
        <w:t xml:space="preserve"> procedures ensures the proper detection and identification of new ESG risks of projects during comprehensive checks and monitoring. In addition, </w:t>
      </w:r>
      <w:r w:rsidR="00991C8D" w:rsidRPr="00986DAB">
        <w:rPr>
          <w:rFonts w:ascii="Times New Roman" w:eastAsia="Times New Roman" w:hAnsi="Times New Roman" w:cs="Times New Roman"/>
          <w:bCs/>
          <w:color w:val="002060"/>
          <w:sz w:val="24"/>
          <w:szCs w:val="24"/>
          <w:lang w:val="en-GB" w:eastAsia="el-GR"/>
        </w:rPr>
        <w:t>ESMS</w:t>
      </w:r>
      <w:r w:rsidRPr="00986DAB">
        <w:rPr>
          <w:rFonts w:ascii="Times New Roman" w:eastAsia="Times New Roman" w:hAnsi="Times New Roman" w:cs="Times New Roman"/>
          <w:bCs/>
          <w:color w:val="002060"/>
          <w:sz w:val="24"/>
          <w:szCs w:val="24"/>
          <w:lang w:val="en-GB" w:eastAsia="el-GR"/>
        </w:rPr>
        <w:t xml:space="preserve"> should be updated to reflect changes in current national and European legislation in the areas of environmental protection, health, labour and safety, social guarantees, and non-discrimination </w:t>
      </w:r>
      <w:proofErr w:type="gramStart"/>
      <w:r w:rsidRPr="00986DAB">
        <w:rPr>
          <w:rFonts w:ascii="Times New Roman" w:eastAsia="Times New Roman" w:hAnsi="Times New Roman" w:cs="Times New Roman"/>
          <w:bCs/>
          <w:color w:val="002060"/>
          <w:sz w:val="24"/>
          <w:szCs w:val="24"/>
          <w:lang w:val="en-GB" w:eastAsia="el-GR"/>
        </w:rPr>
        <w:t>on the basis of</w:t>
      </w:r>
      <w:proofErr w:type="gramEnd"/>
      <w:r w:rsidRPr="00986DAB">
        <w:rPr>
          <w:rFonts w:ascii="Times New Roman" w:eastAsia="Times New Roman" w:hAnsi="Times New Roman" w:cs="Times New Roman"/>
          <w:bCs/>
          <w:color w:val="002060"/>
          <w:sz w:val="24"/>
          <w:szCs w:val="24"/>
          <w:lang w:val="en-GB" w:eastAsia="el-GR"/>
        </w:rPr>
        <w:t xml:space="preserve"> race and gender.</w:t>
      </w:r>
    </w:p>
    <w:p w14:paraId="5C0B26F0" w14:textId="70E06B8D"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Bank has introduced a process for collecting information on difficulties arising in connection with the operational aspects of </w:t>
      </w:r>
      <w:r w:rsidR="00991C8D" w:rsidRPr="00986DAB">
        <w:rPr>
          <w:rFonts w:ascii="Times New Roman" w:eastAsia="Times New Roman" w:hAnsi="Times New Roman" w:cs="Times New Roman"/>
          <w:bCs/>
          <w:color w:val="002060"/>
          <w:sz w:val="24"/>
          <w:szCs w:val="24"/>
          <w:lang w:val="en-GB" w:eastAsia="el-GR"/>
        </w:rPr>
        <w:t>ESMS</w:t>
      </w:r>
      <w:r w:rsidRPr="00986DAB">
        <w:rPr>
          <w:rFonts w:ascii="Times New Roman" w:eastAsia="Times New Roman" w:hAnsi="Times New Roman" w:cs="Times New Roman"/>
          <w:bCs/>
          <w:color w:val="002060"/>
          <w:sz w:val="24"/>
          <w:szCs w:val="24"/>
          <w:lang w:val="en-GB" w:eastAsia="el-GR"/>
        </w:rPr>
        <w:t xml:space="preserve"> implementation. </w:t>
      </w:r>
    </w:p>
    <w:p w14:paraId="32E19F54"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Bank's Legal Department monitors changes in current national legislation and regulations on environmental protection, health and safety in order to ensure that the covenants contained in loan agreements </w:t>
      </w:r>
      <w:proofErr w:type="gramStart"/>
      <w:r w:rsidRPr="00986DAB">
        <w:rPr>
          <w:rFonts w:ascii="Times New Roman" w:eastAsia="Times New Roman" w:hAnsi="Times New Roman" w:cs="Times New Roman"/>
          <w:bCs/>
          <w:color w:val="002060"/>
          <w:sz w:val="24"/>
          <w:szCs w:val="24"/>
          <w:lang w:val="en-GB" w:eastAsia="el-GR"/>
        </w:rPr>
        <w:t>are updated</w:t>
      </w:r>
      <w:proofErr w:type="gramEnd"/>
      <w:r w:rsidRPr="00986DAB">
        <w:rPr>
          <w:rFonts w:ascii="Times New Roman" w:eastAsia="Times New Roman" w:hAnsi="Times New Roman" w:cs="Times New Roman"/>
          <w:bCs/>
          <w:color w:val="002060"/>
          <w:sz w:val="24"/>
          <w:szCs w:val="24"/>
          <w:lang w:val="en-GB" w:eastAsia="el-GR"/>
        </w:rPr>
        <w:t xml:space="preserve"> in line with current changes in legislation.</w:t>
      </w:r>
    </w:p>
    <w:p w14:paraId="14AA20B3" w14:textId="5590B779"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Bank staff </w:t>
      </w:r>
      <w:proofErr w:type="gramStart"/>
      <w:r w:rsidRPr="00986DAB">
        <w:rPr>
          <w:rFonts w:ascii="Times New Roman" w:eastAsia="Times New Roman" w:hAnsi="Times New Roman" w:cs="Times New Roman"/>
          <w:bCs/>
          <w:color w:val="002060"/>
          <w:sz w:val="24"/>
          <w:szCs w:val="24"/>
          <w:lang w:val="en-GB" w:eastAsia="el-GR"/>
        </w:rPr>
        <w:t>are periodically informed</w:t>
      </w:r>
      <w:proofErr w:type="gramEnd"/>
      <w:r w:rsidRPr="00986DAB">
        <w:rPr>
          <w:rFonts w:ascii="Times New Roman" w:eastAsia="Times New Roman" w:hAnsi="Times New Roman" w:cs="Times New Roman"/>
          <w:bCs/>
          <w:color w:val="002060"/>
          <w:sz w:val="24"/>
          <w:szCs w:val="24"/>
          <w:lang w:val="en-GB" w:eastAsia="el-GR"/>
        </w:rPr>
        <w:t xml:space="preserve"> of any changes through the relevant internal communication channels.</w:t>
      </w:r>
    </w:p>
    <w:p w14:paraId="5DB53BEE" w14:textId="77777777" w:rsidR="00CB33B4" w:rsidRPr="00986DAB" w:rsidRDefault="00FD2185" w:rsidP="00CB33B4">
      <w:pPr>
        <w:spacing w:after="0" w:line="240" w:lineRule="auto"/>
        <w:ind w:firstLine="567"/>
        <w:jc w:val="both"/>
        <w:rPr>
          <w:rFonts w:ascii="Times New Roman" w:eastAsia="Times New Roman" w:hAnsi="Times New Roman" w:cs="Times New Roman"/>
          <w:b/>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3</w:t>
      </w:r>
      <w:r w:rsidR="00CB33B4" w:rsidRPr="00986DAB">
        <w:rPr>
          <w:rFonts w:ascii="Times New Roman" w:eastAsia="Times New Roman" w:hAnsi="Times New Roman" w:cs="Times New Roman"/>
          <w:b/>
          <w:bCs/>
          <w:color w:val="002060"/>
          <w:sz w:val="24"/>
          <w:szCs w:val="24"/>
          <w:lang w:val="en-GB" w:eastAsia="el-GR"/>
        </w:rPr>
        <w:t>.5. INTERNAL AND EXTERNAL REPORTING</w:t>
      </w:r>
    </w:p>
    <w:p w14:paraId="0CC90F8D" w14:textId="0B4C1FD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The Bank shall notify interested </w:t>
      </w:r>
      <w:r w:rsidR="007322C3" w:rsidRPr="00986DAB">
        <w:rPr>
          <w:rFonts w:ascii="Times New Roman" w:eastAsia="Times New Roman" w:hAnsi="Times New Roman" w:cs="Times New Roman"/>
          <w:bCs/>
          <w:color w:val="002060"/>
          <w:sz w:val="24"/>
          <w:szCs w:val="24"/>
          <w:lang w:val="en-GB" w:eastAsia="el-GR"/>
        </w:rPr>
        <w:t>parties (IFC, EBRD, FiM</w:t>
      </w:r>
      <w:r w:rsidR="00294AA0">
        <w:rPr>
          <w:rFonts w:ascii="Times New Roman" w:eastAsia="Times New Roman" w:hAnsi="Times New Roman" w:cs="Times New Roman"/>
          <w:bCs/>
          <w:color w:val="002060"/>
          <w:sz w:val="24"/>
          <w:szCs w:val="24"/>
          <w:lang w:val="en-GB" w:eastAsia="el-GR"/>
        </w:rPr>
        <w:t>, BDF</w:t>
      </w:r>
      <w:r w:rsidRPr="00986DAB">
        <w:rPr>
          <w:rFonts w:ascii="Times New Roman" w:eastAsia="Times New Roman" w:hAnsi="Times New Roman" w:cs="Times New Roman"/>
          <w:bCs/>
          <w:color w:val="002060"/>
          <w:sz w:val="24"/>
          <w:szCs w:val="24"/>
          <w:lang w:val="en-GB" w:eastAsia="el-GR"/>
        </w:rPr>
        <w:t>, etc.) of serious accidents or incidents involving its clients no later than three days after becoming aware of such accidents or incidents. The Bank investigates, collects and stores all necessary information about the borrower, conscientiously applying the basic banking rule of "Know Your Customer" (KYC).</w:t>
      </w:r>
    </w:p>
    <w:p w14:paraId="186651E4" w14:textId="14B11AA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As mentioned above, the Bank also informs specific interested parties, upon request or on the basis of the Framework Agreement, about any high-risk projects (category A) prior to making a credit decision (for example, the agreement with the IFC requires reporting on each high-risk project).</w:t>
      </w:r>
    </w:p>
    <w:p w14:paraId="28605E1D"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The Bank regularly prepares an Annual Environmental and Social Performance Report in accordance with the reporting standards set out in bilateral agreements.</w:t>
      </w:r>
    </w:p>
    <w:p w14:paraId="1407408D" w14:textId="77777777" w:rsidR="00CB33B4" w:rsidRPr="00986DAB" w:rsidRDefault="00FD2185" w:rsidP="00CB33B4">
      <w:pPr>
        <w:spacing w:after="0" w:line="240" w:lineRule="auto"/>
        <w:ind w:firstLine="567"/>
        <w:jc w:val="both"/>
        <w:rPr>
          <w:rFonts w:ascii="Times New Roman" w:eastAsia="Times New Roman" w:hAnsi="Times New Roman" w:cs="Times New Roman"/>
          <w:b/>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3</w:t>
      </w:r>
      <w:r w:rsidR="00CB33B4" w:rsidRPr="00986DAB">
        <w:rPr>
          <w:rFonts w:ascii="Times New Roman" w:eastAsia="Times New Roman" w:hAnsi="Times New Roman" w:cs="Times New Roman"/>
          <w:b/>
          <w:bCs/>
          <w:color w:val="002060"/>
          <w:sz w:val="24"/>
          <w:szCs w:val="24"/>
          <w:lang w:val="en-GB" w:eastAsia="el-GR"/>
        </w:rPr>
        <w:t>.6.</w:t>
      </w:r>
      <w:r w:rsidR="00CB33B4" w:rsidRPr="00986DAB">
        <w:rPr>
          <w:rFonts w:ascii="Times New Roman" w:eastAsia="Times New Roman" w:hAnsi="Times New Roman" w:cs="Times New Roman"/>
          <w:b/>
          <w:bCs/>
          <w:color w:val="002060"/>
          <w:sz w:val="24"/>
          <w:szCs w:val="24"/>
          <w:lang w:val="en-GB" w:eastAsia="el-GR"/>
        </w:rPr>
        <w:tab/>
        <w:t xml:space="preserve"> MECHANISM FOR COMMUNICATION AND RESOLUTION OF CUSTOMER ISSUES</w:t>
      </w:r>
    </w:p>
    <w:p w14:paraId="754415AB" w14:textId="5E8D4CAE"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Through its </w:t>
      </w:r>
      <w:r w:rsidR="00294AA0" w:rsidRPr="00294AA0">
        <w:rPr>
          <w:rFonts w:ascii="Times New Roman" w:eastAsia="Times New Roman" w:hAnsi="Times New Roman" w:cs="Times New Roman"/>
          <w:bCs/>
          <w:color w:val="002060"/>
          <w:sz w:val="24"/>
          <w:szCs w:val="24"/>
          <w:lang w:val="en-GB" w:eastAsia="el-GR"/>
        </w:rPr>
        <w:t>Remote Customer Care Division</w:t>
      </w:r>
      <w:r w:rsidRPr="00986DAB">
        <w:rPr>
          <w:rFonts w:ascii="Times New Roman" w:eastAsia="Times New Roman" w:hAnsi="Times New Roman" w:cs="Times New Roman"/>
          <w:bCs/>
          <w:color w:val="002060"/>
          <w:sz w:val="24"/>
          <w:szCs w:val="24"/>
          <w:lang w:val="en-GB" w:eastAsia="el-GR"/>
        </w:rPr>
        <w:t xml:space="preserve"> and the Customer Complaints Committee, the Bank reviews and resolves any complaints or claims from customers and other interested parties, and through the staff of the Business Development Department, provides information and explanations regarding banking services, operations, products offered, or any other issues, such as ESG issues related to the Bank's investments. The Bank has established a mechanism for receiving and promptly investigating such complaints</w:t>
      </w:r>
      <w:r w:rsidR="00395373">
        <w:rPr>
          <w:rFonts w:ascii="Times New Roman" w:eastAsia="Times New Roman" w:hAnsi="Times New Roman" w:cs="Times New Roman"/>
          <w:bCs/>
          <w:color w:val="002060"/>
          <w:sz w:val="24"/>
          <w:szCs w:val="24"/>
          <w:lang w:val="en-GB" w:eastAsia="el-GR"/>
        </w:rPr>
        <w:t>/requests</w:t>
      </w:r>
      <w:r w:rsidRPr="00986DAB">
        <w:rPr>
          <w:rFonts w:ascii="Times New Roman" w:eastAsia="Times New Roman" w:hAnsi="Times New Roman" w:cs="Times New Roman"/>
          <w:bCs/>
          <w:color w:val="002060"/>
          <w:sz w:val="24"/>
          <w:szCs w:val="24"/>
          <w:lang w:val="en-GB" w:eastAsia="el-GR"/>
        </w:rPr>
        <w:t>: through a simple procedure, customers or other interested parties can choose one of several means of communication (by conta</w:t>
      </w:r>
      <w:r w:rsidR="00395373">
        <w:rPr>
          <w:rFonts w:ascii="Times New Roman" w:eastAsia="Times New Roman" w:hAnsi="Times New Roman" w:cs="Times New Roman"/>
          <w:bCs/>
          <w:color w:val="002060"/>
          <w:sz w:val="24"/>
          <w:szCs w:val="24"/>
          <w:lang w:val="en-GB" w:eastAsia="el-GR"/>
        </w:rPr>
        <w:t>cting a branch, by telephone, via e-mail</w:t>
      </w:r>
      <w:r w:rsidRPr="00986DAB">
        <w:rPr>
          <w:rFonts w:ascii="Times New Roman" w:eastAsia="Times New Roman" w:hAnsi="Times New Roman" w:cs="Times New Roman"/>
          <w:bCs/>
          <w:color w:val="002060"/>
          <w:sz w:val="24"/>
          <w:szCs w:val="24"/>
          <w:lang w:val="en-GB" w:eastAsia="el-GR"/>
        </w:rPr>
        <w:t xml:space="preserve">, </w:t>
      </w:r>
      <w:r w:rsidR="00395373" w:rsidRPr="00395373">
        <w:rPr>
          <w:rFonts w:ascii="Times New Roman" w:eastAsia="Times New Roman" w:hAnsi="Times New Roman" w:cs="Times New Roman"/>
          <w:bCs/>
          <w:color w:val="002060"/>
          <w:sz w:val="24"/>
          <w:szCs w:val="24"/>
          <w:lang w:val="en-GB" w:eastAsia="el-GR"/>
        </w:rPr>
        <w:t xml:space="preserve">chat support and </w:t>
      </w:r>
      <w:r w:rsidR="00DF1A62" w:rsidRPr="00986DAB">
        <w:rPr>
          <w:rFonts w:ascii="Times New Roman" w:eastAsia="Times New Roman" w:hAnsi="Times New Roman" w:cs="Times New Roman"/>
          <w:bCs/>
          <w:color w:val="002060"/>
          <w:sz w:val="24"/>
          <w:szCs w:val="24"/>
          <w:lang w:val="en-GB" w:eastAsia="el-GR"/>
        </w:rPr>
        <w:t>via the Bank's website:</w:t>
      </w:r>
      <w:hyperlink r:id="rId8" w:history="1">
        <w:r w:rsidR="00DF1A62" w:rsidRPr="00986DAB">
          <w:rPr>
            <w:rFonts w:ascii="Times New Roman" w:eastAsia="Times New Roman" w:hAnsi="Times New Roman" w:cs="Times New Roman"/>
            <w:bCs/>
            <w:color w:val="002060"/>
            <w:sz w:val="24"/>
            <w:szCs w:val="24"/>
            <w:lang w:val="en-GB" w:eastAsia="el-GR"/>
          </w:rPr>
          <w:t xml:space="preserve"> https://www.piraeusbank.ua/ua/home/inappropriate-actions</w:t>
        </w:r>
      </w:hyperlink>
      <w:r w:rsidRPr="00986DAB">
        <w:rPr>
          <w:rFonts w:ascii="Times New Roman" w:eastAsia="Times New Roman" w:hAnsi="Times New Roman" w:cs="Times New Roman"/>
          <w:bCs/>
          <w:color w:val="002060"/>
          <w:sz w:val="24"/>
          <w:szCs w:val="24"/>
          <w:lang w:val="en-GB" w:eastAsia="el-GR"/>
        </w:rPr>
        <w:t>) in order to receive appropriate responses and explanations.</w:t>
      </w:r>
    </w:p>
    <w:p w14:paraId="50004704" w14:textId="77777777" w:rsidR="00CB33B4" w:rsidRPr="00986DAB" w:rsidRDefault="00FD2185" w:rsidP="00CB33B4">
      <w:pPr>
        <w:spacing w:after="0" w:line="240" w:lineRule="auto"/>
        <w:ind w:firstLine="567"/>
        <w:jc w:val="both"/>
        <w:rPr>
          <w:rFonts w:ascii="Times New Roman" w:eastAsia="Times New Roman" w:hAnsi="Times New Roman" w:cs="Times New Roman"/>
          <w:b/>
          <w:bCs/>
          <w:color w:val="002060"/>
          <w:sz w:val="24"/>
          <w:szCs w:val="24"/>
          <w:lang w:val="en-GB" w:eastAsia="el-GR"/>
        </w:rPr>
      </w:pPr>
      <w:r w:rsidRPr="00986DAB">
        <w:rPr>
          <w:rFonts w:ascii="Times New Roman" w:eastAsia="Times New Roman" w:hAnsi="Times New Roman" w:cs="Times New Roman"/>
          <w:b/>
          <w:bCs/>
          <w:color w:val="002060"/>
          <w:sz w:val="24"/>
          <w:szCs w:val="24"/>
          <w:lang w:val="en-GB" w:eastAsia="el-GR"/>
        </w:rPr>
        <w:t>3</w:t>
      </w:r>
      <w:r w:rsidR="00CB33B4" w:rsidRPr="00986DAB">
        <w:rPr>
          <w:rFonts w:ascii="Times New Roman" w:eastAsia="Times New Roman" w:hAnsi="Times New Roman" w:cs="Times New Roman"/>
          <w:b/>
          <w:bCs/>
          <w:color w:val="002060"/>
          <w:sz w:val="24"/>
          <w:szCs w:val="24"/>
          <w:lang w:val="en-GB" w:eastAsia="el-GR"/>
        </w:rPr>
        <w:t>.7.</w:t>
      </w:r>
      <w:r w:rsidR="00CB33B4" w:rsidRPr="00986DAB">
        <w:rPr>
          <w:rFonts w:ascii="Times New Roman" w:eastAsia="Times New Roman" w:hAnsi="Times New Roman" w:cs="Times New Roman"/>
          <w:b/>
          <w:bCs/>
          <w:color w:val="002060"/>
          <w:sz w:val="24"/>
          <w:szCs w:val="24"/>
          <w:lang w:val="en-GB" w:eastAsia="el-GR"/>
        </w:rPr>
        <w:tab/>
        <w:t>EMERGENCY PREPAREDNESS AND RESPONSE PLAN</w:t>
      </w:r>
    </w:p>
    <w:p w14:paraId="35B15512" w14:textId="6DDDC155"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lastRenderedPageBreak/>
        <w:t xml:space="preserve">The Bank has relevant internal regulatory documents, which </w:t>
      </w:r>
      <w:proofErr w:type="gramStart"/>
      <w:r w:rsidRPr="00986DAB">
        <w:rPr>
          <w:rFonts w:ascii="Times New Roman" w:eastAsia="Times New Roman" w:hAnsi="Times New Roman" w:cs="Times New Roman"/>
          <w:bCs/>
          <w:color w:val="002060"/>
          <w:sz w:val="24"/>
          <w:szCs w:val="24"/>
          <w:lang w:val="en-GB" w:eastAsia="el-GR"/>
        </w:rPr>
        <w:t>are updated</w:t>
      </w:r>
      <w:proofErr w:type="gramEnd"/>
      <w:r w:rsidRPr="00986DAB">
        <w:rPr>
          <w:rFonts w:ascii="Times New Roman" w:eastAsia="Times New Roman" w:hAnsi="Times New Roman" w:cs="Times New Roman"/>
          <w:bCs/>
          <w:color w:val="002060"/>
          <w:sz w:val="24"/>
          <w:szCs w:val="24"/>
          <w:lang w:val="en-GB" w:eastAsia="el-GR"/>
        </w:rPr>
        <w:t xml:space="preserve"> on an annual basis or as significant changes occur in the Bank's activities, namely:</w:t>
      </w:r>
    </w:p>
    <w:p w14:paraId="3D8E9386" w14:textId="7928504C" w:rsidR="00CB33B4" w:rsidRPr="00986DAB" w:rsidRDefault="00CB33B4" w:rsidP="00910909">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r>
      <w:r w:rsidR="001A2FC1" w:rsidRPr="001A2FC1">
        <w:rPr>
          <w:rFonts w:ascii="Times New Roman" w:eastAsia="Times New Roman" w:hAnsi="Times New Roman" w:cs="Times New Roman"/>
          <w:bCs/>
          <w:color w:val="002060"/>
          <w:sz w:val="24"/>
          <w:szCs w:val="24"/>
          <w:lang w:val="en-GB" w:eastAsia="el-GR"/>
        </w:rPr>
        <w:t>Business Continuity Policy</w:t>
      </w:r>
      <w:r w:rsidR="00340778" w:rsidRPr="00986DAB">
        <w:rPr>
          <w:rFonts w:ascii="Times New Roman" w:eastAsia="Times New Roman" w:hAnsi="Times New Roman" w:cs="Times New Roman"/>
          <w:bCs/>
          <w:color w:val="002060"/>
          <w:sz w:val="24"/>
          <w:szCs w:val="24"/>
          <w:lang w:val="en-GB" w:eastAsia="el-GR"/>
        </w:rPr>
        <w:t xml:space="preserve"> of JSC "PIRAEUS BANK ICB"</w:t>
      </w:r>
      <w:r w:rsidR="00910909">
        <w:rPr>
          <w:rFonts w:ascii="Times New Roman" w:eastAsia="Times New Roman" w:hAnsi="Times New Roman" w:cs="Times New Roman"/>
          <w:bCs/>
          <w:color w:val="002060"/>
          <w:sz w:val="24"/>
          <w:szCs w:val="24"/>
          <w:lang w:val="en-GB" w:eastAsia="el-GR"/>
        </w:rPr>
        <w:t>;</w:t>
      </w:r>
    </w:p>
    <w:p w14:paraId="21BE48C8" w14:textId="51E63A71"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r>
      <w:r w:rsidR="00340778" w:rsidRPr="00986DAB">
        <w:rPr>
          <w:rFonts w:ascii="Times New Roman" w:eastAsia="Times New Roman" w:hAnsi="Times New Roman" w:cs="Times New Roman"/>
          <w:bCs/>
          <w:color w:val="002060"/>
          <w:sz w:val="24"/>
          <w:szCs w:val="24"/>
          <w:lang w:val="en-GB" w:eastAsia="el-GR"/>
        </w:rPr>
        <w:t xml:space="preserve">Business Continuity Plan of </w:t>
      </w:r>
      <w:r w:rsidR="00902CF2" w:rsidRPr="00986DAB">
        <w:rPr>
          <w:rFonts w:ascii="Times New Roman" w:eastAsia="Times New Roman" w:hAnsi="Times New Roman" w:cs="Times New Roman"/>
          <w:bCs/>
          <w:color w:val="002060"/>
          <w:sz w:val="24"/>
          <w:szCs w:val="24"/>
          <w:lang w:val="en-GB" w:eastAsia="el-GR"/>
        </w:rPr>
        <w:t xml:space="preserve">JSC </w:t>
      </w:r>
      <w:r w:rsidR="00902CF2" w:rsidRPr="00902CF2">
        <w:rPr>
          <w:rFonts w:ascii="Times New Roman" w:eastAsia="Times New Roman" w:hAnsi="Times New Roman" w:cs="Times New Roman"/>
          <w:bCs/>
          <w:color w:val="002060"/>
          <w:sz w:val="24"/>
          <w:szCs w:val="24"/>
          <w:lang w:val="en-GB" w:eastAsia="el-GR"/>
        </w:rPr>
        <w:t>"PIRAEUS BANK ICB"</w:t>
      </w:r>
      <w:r w:rsidRPr="00986DAB">
        <w:rPr>
          <w:rFonts w:ascii="Times New Roman" w:eastAsia="Times New Roman" w:hAnsi="Times New Roman" w:cs="Times New Roman"/>
          <w:bCs/>
          <w:color w:val="002060"/>
          <w:sz w:val="24"/>
          <w:szCs w:val="24"/>
          <w:lang w:val="en-GB" w:eastAsia="el-GR"/>
        </w:rPr>
        <w:t>;</w:t>
      </w:r>
    </w:p>
    <w:p w14:paraId="1BFAF6FA" w14:textId="1D5437ED"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r>
      <w:r w:rsidR="00340778" w:rsidRPr="00986DAB">
        <w:rPr>
          <w:rFonts w:ascii="Times New Roman" w:eastAsia="Times New Roman" w:hAnsi="Times New Roman" w:cs="Times New Roman"/>
          <w:bCs/>
          <w:color w:val="002060"/>
          <w:sz w:val="24"/>
          <w:szCs w:val="24"/>
          <w:lang w:val="en-GB" w:eastAsia="el-GR"/>
        </w:rPr>
        <w:t>Procedure for analysing the impact of negative factors on the processes of JSC "PIRAEUS BANK ICB"</w:t>
      </w:r>
      <w:r w:rsidR="00902CF2">
        <w:rPr>
          <w:rFonts w:ascii="Times New Roman" w:eastAsia="Times New Roman" w:hAnsi="Times New Roman" w:cs="Times New Roman"/>
          <w:bCs/>
          <w:color w:val="002060"/>
          <w:sz w:val="24"/>
          <w:szCs w:val="24"/>
          <w:lang w:val="en-GB" w:eastAsia="el-GR"/>
        </w:rPr>
        <w:t>;</w:t>
      </w:r>
    </w:p>
    <w:p w14:paraId="05E191E4" w14:textId="01EDE026"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w:t>
      </w:r>
      <w:r w:rsidRPr="00986DAB">
        <w:rPr>
          <w:rFonts w:ascii="Times New Roman" w:eastAsia="Times New Roman" w:hAnsi="Times New Roman" w:cs="Times New Roman"/>
          <w:bCs/>
          <w:color w:val="002060"/>
          <w:sz w:val="24"/>
          <w:szCs w:val="24"/>
          <w:lang w:val="en-GB" w:eastAsia="el-GR"/>
        </w:rPr>
        <w:tab/>
      </w:r>
      <w:r w:rsidR="00340778" w:rsidRPr="00986DAB">
        <w:rPr>
          <w:rFonts w:ascii="Times New Roman" w:eastAsia="Times New Roman" w:hAnsi="Times New Roman" w:cs="Times New Roman"/>
          <w:bCs/>
          <w:color w:val="002060"/>
          <w:sz w:val="24"/>
          <w:szCs w:val="24"/>
          <w:lang w:val="en-GB" w:eastAsia="el-GR"/>
        </w:rPr>
        <w:t xml:space="preserve">Plan for resuming the activities of </w:t>
      </w:r>
      <w:r w:rsidR="00902CF2" w:rsidRPr="00986DAB">
        <w:rPr>
          <w:rFonts w:ascii="Times New Roman" w:eastAsia="Times New Roman" w:hAnsi="Times New Roman" w:cs="Times New Roman"/>
          <w:bCs/>
          <w:color w:val="002060"/>
          <w:sz w:val="24"/>
          <w:szCs w:val="24"/>
          <w:lang w:val="en-GB" w:eastAsia="el-GR"/>
        </w:rPr>
        <w:t xml:space="preserve">JSC </w:t>
      </w:r>
      <w:r w:rsidR="00902CF2" w:rsidRPr="00902CF2">
        <w:rPr>
          <w:rFonts w:ascii="Times New Roman" w:eastAsia="Times New Roman" w:hAnsi="Times New Roman" w:cs="Times New Roman"/>
          <w:bCs/>
          <w:color w:val="002060"/>
          <w:sz w:val="24"/>
          <w:szCs w:val="24"/>
          <w:lang w:val="en-GB" w:eastAsia="el-GR"/>
        </w:rPr>
        <w:t>"PIRAEUS BANK ICB"</w:t>
      </w:r>
      <w:r w:rsidRPr="00986DAB">
        <w:rPr>
          <w:rFonts w:ascii="Times New Roman" w:eastAsia="Times New Roman" w:hAnsi="Times New Roman" w:cs="Times New Roman"/>
          <w:bCs/>
          <w:color w:val="002060"/>
          <w:sz w:val="24"/>
          <w:szCs w:val="24"/>
          <w:lang w:val="en-GB" w:eastAsia="el-GR"/>
        </w:rPr>
        <w:t>.</w:t>
      </w:r>
    </w:p>
    <w:p w14:paraId="39A68CBA" w14:textId="77777777" w:rsidR="00CB33B4" w:rsidRPr="00986DAB" w:rsidRDefault="00CB33B4" w:rsidP="00CB33B4">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These documents describe in detail effective emergency preparedness and response plans (e.g., responsibilities, procedures, and evacuation plans for each type of emergency, training, etc.).</w:t>
      </w:r>
    </w:p>
    <w:p w14:paraId="45719E8D" w14:textId="77777777" w:rsidR="007F3ABB" w:rsidRPr="00986DAB" w:rsidRDefault="007F3ABB">
      <w:pPr>
        <w:spacing w:after="0" w:line="240" w:lineRule="auto"/>
        <w:ind w:firstLine="567"/>
        <w:jc w:val="both"/>
        <w:rPr>
          <w:rFonts w:ascii="Times New Roman" w:eastAsia="Times New Roman" w:hAnsi="Times New Roman" w:cs="Times New Roman"/>
          <w:bCs/>
          <w:i/>
          <w:color w:val="002060"/>
          <w:sz w:val="24"/>
          <w:szCs w:val="24"/>
          <w:lang w:val="en-GB" w:eastAsia="el-GR"/>
        </w:rPr>
      </w:pPr>
    </w:p>
    <w:p w14:paraId="32DC5F0A" w14:textId="77777777" w:rsidR="007F3ABB" w:rsidRPr="00986DAB" w:rsidRDefault="009C764B" w:rsidP="00EF57B3">
      <w:pPr>
        <w:pStyle w:val="Heading1"/>
        <w:ind w:left="567"/>
        <w:rPr>
          <w:rFonts w:ascii="Times New Roman" w:hAnsi="Times New Roman"/>
          <w:b/>
          <w:color w:val="002060"/>
          <w:lang w:val="en-GB"/>
        </w:rPr>
      </w:pPr>
      <w:bookmarkStart w:id="3" w:name="_Toc216278029"/>
      <w:r w:rsidRPr="00986DAB">
        <w:rPr>
          <w:rFonts w:ascii="Times New Roman" w:hAnsi="Times New Roman"/>
          <w:b/>
          <w:color w:val="002060"/>
          <w:lang w:val="en-GB"/>
        </w:rPr>
        <w:t>4. ROLES, POWERS AND RESPONSIBILITIES</w:t>
      </w:r>
      <w:bookmarkEnd w:id="3"/>
      <w:r w:rsidRPr="00986DAB">
        <w:rPr>
          <w:rFonts w:ascii="Times New Roman" w:hAnsi="Times New Roman"/>
          <w:b/>
          <w:color w:val="002060"/>
          <w:lang w:val="en-GB"/>
        </w:rPr>
        <w:t xml:space="preserve"> </w:t>
      </w:r>
    </w:p>
    <w:p w14:paraId="4B36D7FA" w14:textId="7644D56D" w:rsidR="00D25B48" w:rsidRPr="00986DAB" w:rsidRDefault="00036EDD" w:rsidP="00D25B48">
      <w:pPr>
        <w:spacing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4.1. </w:t>
      </w:r>
      <w:r w:rsidR="00D25B48" w:rsidRPr="00986DAB">
        <w:rPr>
          <w:rFonts w:ascii="Times New Roman" w:eastAsia="Times New Roman" w:hAnsi="Times New Roman" w:cs="Times New Roman"/>
          <w:bCs/>
          <w:color w:val="002060"/>
          <w:sz w:val="24"/>
          <w:szCs w:val="24"/>
          <w:lang w:val="en-GB" w:eastAsia="el-GR"/>
        </w:rPr>
        <w:t xml:space="preserve">The CRO is the </w:t>
      </w:r>
      <w:r w:rsidR="00E43489" w:rsidRPr="00E43489">
        <w:rPr>
          <w:rFonts w:ascii="Times New Roman" w:eastAsia="Times New Roman" w:hAnsi="Times New Roman" w:cs="Times New Roman"/>
          <w:bCs/>
          <w:color w:val="002060"/>
          <w:sz w:val="24"/>
          <w:szCs w:val="24"/>
          <w:lang w:val="en-GB" w:eastAsia="el-GR"/>
        </w:rPr>
        <w:t xml:space="preserve">Bank's authorized officer </w:t>
      </w:r>
      <w:r w:rsidR="00D25B48" w:rsidRPr="00986DAB">
        <w:rPr>
          <w:rFonts w:ascii="Times New Roman" w:eastAsia="Times New Roman" w:hAnsi="Times New Roman" w:cs="Times New Roman"/>
          <w:bCs/>
          <w:color w:val="002060"/>
          <w:sz w:val="24"/>
          <w:szCs w:val="24"/>
          <w:lang w:val="en-GB" w:eastAsia="el-GR"/>
        </w:rPr>
        <w:t xml:space="preserve">for </w:t>
      </w:r>
      <w:r w:rsidR="00991C8D" w:rsidRPr="00986DAB">
        <w:rPr>
          <w:rFonts w:ascii="Times New Roman" w:eastAsia="Times New Roman" w:hAnsi="Times New Roman" w:cs="Times New Roman"/>
          <w:bCs/>
          <w:color w:val="002060"/>
          <w:sz w:val="24"/>
          <w:szCs w:val="24"/>
          <w:lang w:val="en-GB" w:eastAsia="el-GR"/>
        </w:rPr>
        <w:t>ESMS</w:t>
      </w:r>
      <w:r w:rsidR="00D25B48" w:rsidRPr="00986DAB">
        <w:rPr>
          <w:rFonts w:ascii="Times New Roman" w:eastAsia="Times New Roman" w:hAnsi="Times New Roman" w:cs="Times New Roman"/>
          <w:bCs/>
          <w:color w:val="002060"/>
          <w:sz w:val="24"/>
          <w:szCs w:val="24"/>
          <w:lang w:val="en-GB" w:eastAsia="el-GR"/>
        </w:rPr>
        <w:t xml:space="preserve"> issues and oversees the implementation of </w:t>
      </w:r>
      <w:r w:rsidR="00991C8D" w:rsidRPr="00986DAB">
        <w:rPr>
          <w:rFonts w:ascii="Times New Roman" w:eastAsia="Times New Roman" w:hAnsi="Times New Roman" w:cs="Times New Roman"/>
          <w:bCs/>
          <w:color w:val="002060"/>
          <w:sz w:val="24"/>
          <w:szCs w:val="24"/>
          <w:lang w:val="en-GB" w:eastAsia="el-GR"/>
        </w:rPr>
        <w:t>ESMS</w:t>
      </w:r>
      <w:r w:rsidR="00D25B48" w:rsidRPr="00986DAB">
        <w:rPr>
          <w:rFonts w:ascii="Times New Roman" w:eastAsia="Times New Roman" w:hAnsi="Times New Roman" w:cs="Times New Roman"/>
          <w:bCs/>
          <w:color w:val="002060"/>
          <w:sz w:val="24"/>
          <w:szCs w:val="24"/>
          <w:lang w:val="en-GB" w:eastAsia="el-GR"/>
        </w:rPr>
        <w:t>, ensuring the integration of these procedures into the Bank's existing business processes for assessing the financial risks of projects.</w:t>
      </w:r>
    </w:p>
    <w:p w14:paraId="12086764" w14:textId="19BBCD50" w:rsidR="00D25B48" w:rsidRPr="00986DAB" w:rsidRDefault="00D25B48" w:rsidP="00D25B48">
      <w:pPr>
        <w:spacing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Responsibilities of the official in charge of </w:t>
      </w:r>
      <w:r w:rsidR="00991C8D" w:rsidRPr="00986DAB">
        <w:rPr>
          <w:rFonts w:ascii="Times New Roman" w:eastAsia="Times New Roman" w:hAnsi="Times New Roman" w:cs="Times New Roman"/>
          <w:bCs/>
          <w:color w:val="002060"/>
          <w:sz w:val="24"/>
          <w:szCs w:val="24"/>
          <w:lang w:val="en-GB" w:eastAsia="el-GR"/>
        </w:rPr>
        <w:t>ESMS</w:t>
      </w:r>
      <w:r w:rsidRPr="00986DAB">
        <w:rPr>
          <w:rFonts w:ascii="Times New Roman" w:eastAsia="Times New Roman" w:hAnsi="Times New Roman" w:cs="Times New Roman"/>
          <w:bCs/>
          <w:color w:val="002060"/>
          <w:sz w:val="24"/>
          <w:szCs w:val="24"/>
          <w:lang w:val="en-GB" w:eastAsia="el-GR"/>
        </w:rPr>
        <w:t>:</w:t>
      </w:r>
    </w:p>
    <w:p w14:paraId="67732B70" w14:textId="59621736" w:rsidR="00D25B48" w:rsidRPr="00986DAB" w:rsidRDefault="002A458E" w:rsidP="002A458E">
      <w:pPr>
        <w:pStyle w:val="ListParagraph"/>
        <w:numPr>
          <w:ilvl w:val="0"/>
          <w:numId w:val="13"/>
        </w:numPr>
        <w:spacing w:line="240" w:lineRule="auto"/>
        <w:jc w:val="both"/>
        <w:rPr>
          <w:rFonts w:ascii="Times New Roman" w:eastAsia="Times New Roman" w:hAnsi="Times New Roman" w:cs="Times New Roman"/>
          <w:bCs/>
          <w:color w:val="002060"/>
          <w:sz w:val="24"/>
          <w:szCs w:val="24"/>
          <w:lang w:val="en-GB" w:eastAsia="el-GR"/>
        </w:rPr>
      </w:pPr>
      <w:r w:rsidRPr="002A458E">
        <w:rPr>
          <w:rFonts w:ascii="Times New Roman" w:eastAsia="Times New Roman" w:hAnsi="Times New Roman" w:cs="Times New Roman"/>
          <w:bCs/>
          <w:color w:val="002060"/>
          <w:sz w:val="24"/>
          <w:szCs w:val="24"/>
          <w:lang w:val="en-GB" w:eastAsia="el-GR"/>
        </w:rPr>
        <w:t>Consolidation of information and reporting on projects in the area of ESG risks and training, under which budget-related matters are approved by the respective initiative owners separately, in accordance with the procedure in force at the Bank</w:t>
      </w:r>
      <w:r w:rsidR="00E43489">
        <w:rPr>
          <w:rFonts w:ascii="Times New Roman" w:eastAsia="Times New Roman" w:hAnsi="Times New Roman" w:cs="Times New Roman"/>
          <w:bCs/>
          <w:color w:val="002060"/>
          <w:sz w:val="24"/>
          <w:szCs w:val="24"/>
          <w:lang w:val="en-GB" w:eastAsia="el-GR"/>
        </w:rPr>
        <w:t>.</w:t>
      </w:r>
    </w:p>
    <w:p w14:paraId="485645CC" w14:textId="734D7A2F" w:rsidR="00D25B48" w:rsidRPr="00986DAB" w:rsidRDefault="00D25B48" w:rsidP="00036EDD">
      <w:pPr>
        <w:pStyle w:val="ListParagraph"/>
        <w:numPr>
          <w:ilvl w:val="0"/>
          <w:numId w:val="13"/>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Ensuring coordination and integration of risk management procedures into the Bank's internal credit process</w:t>
      </w:r>
      <w:r w:rsidR="00E43489">
        <w:rPr>
          <w:rFonts w:ascii="Times New Roman" w:eastAsia="Times New Roman" w:hAnsi="Times New Roman" w:cs="Times New Roman"/>
          <w:bCs/>
          <w:color w:val="002060"/>
          <w:sz w:val="24"/>
          <w:szCs w:val="24"/>
          <w:lang w:val="en-GB" w:eastAsia="el-GR"/>
        </w:rPr>
        <w:t>.</w:t>
      </w:r>
    </w:p>
    <w:p w14:paraId="30C08258" w14:textId="7CA375F2" w:rsidR="00D25B48" w:rsidRPr="00986DAB" w:rsidRDefault="00D25B48" w:rsidP="00036EDD">
      <w:pPr>
        <w:pStyle w:val="ListParagraph"/>
        <w:numPr>
          <w:ilvl w:val="0"/>
          <w:numId w:val="13"/>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Reporting any serious ESG issues to senior management and ensuring support and approval for ESG risk management issues</w:t>
      </w:r>
      <w:r w:rsidR="00E43489">
        <w:rPr>
          <w:rFonts w:ascii="Times New Roman" w:eastAsia="Times New Roman" w:hAnsi="Times New Roman" w:cs="Times New Roman"/>
          <w:bCs/>
          <w:color w:val="002060"/>
          <w:sz w:val="24"/>
          <w:szCs w:val="24"/>
          <w:lang w:val="en-GB" w:eastAsia="el-GR"/>
        </w:rPr>
        <w:t>.</w:t>
      </w:r>
    </w:p>
    <w:p w14:paraId="64553EA3" w14:textId="3B4A3E53" w:rsidR="00D25B48" w:rsidRPr="00986DAB" w:rsidRDefault="00D25B48" w:rsidP="00036EDD">
      <w:pPr>
        <w:pStyle w:val="ListParagraph"/>
        <w:numPr>
          <w:ilvl w:val="0"/>
          <w:numId w:val="13"/>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Reviewing and approving the Bank's annual ESG reports</w:t>
      </w:r>
      <w:r w:rsidR="00E43489">
        <w:rPr>
          <w:rFonts w:ascii="Times New Roman" w:eastAsia="Times New Roman" w:hAnsi="Times New Roman" w:cs="Times New Roman"/>
          <w:bCs/>
          <w:color w:val="002060"/>
          <w:sz w:val="24"/>
          <w:szCs w:val="24"/>
          <w:lang w:val="en-GB" w:eastAsia="el-GR"/>
        </w:rPr>
        <w:t>.</w:t>
      </w:r>
    </w:p>
    <w:p w14:paraId="3550D6CC" w14:textId="7F6815AC" w:rsidR="00D25B48" w:rsidRPr="00986DAB" w:rsidRDefault="00D25B48" w:rsidP="00036EDD">
      <w:pPr>
        <w:pStyle w:val="ListParagraph"/>
        <w:numPr>
          <w:ilvl w:val="0"/>
          <w:numId w:val="13"/>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Informing stakeholders, upon request, about high-risk projects prior to making a lending decision</w:t>
      </w:r>
      <w:r w:rsidR="00E43489">
        <w:rPr>
          <w:rFonts w:ascii="Times New Roman" w:eastAsia="Times New Roman" w:hAnsi="Times New Roman" w:cs="Times New Roman"/>
          <w:bCs/>
          <w:color w:val="002060"/>
          <w:sz w:val="24"/>
          <w:szCs w:val="24"/>
          <w:lang w:val="en-GB" w:eastAsia="el-GR"/>
        </w:rPr>
        <w:t>.</w:t>
      </w:r>
    </w:p>
    <w:p w14:paraId="794D12F1" w14:textId="5EC4DD3F" w:rsidR="00D25B48" w:rsidRPr="00986DAB" w:rsidRDefault="0093431C" w:rsidP="00036EDD">
      <w:pPr>
        <w:pStyle w:val="ListParagraph"/>
        <w:numPr>
          <w:ilvl w:val="0"/>
          <w:numId w:val="13"/>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Regular</w:t>
      </w:r>
      <w:r w:rsidR="00D25B48" w:rsidRPr="00986DAB">
        <w:rPr>
          <w:rFonts w:ascii="Times New Roman" w:eastAsia="Times New Roman" w:hAnsi="Times New Roman" w:cs="Times New Roman"/>
          <w:bCs/>
          <w:color w:val="002060"/>
          <w:sz w:val="24"/>
          <w:szCs w:val="24"/>
          <w:lang w:val="en-GB" w:eastAsia="el-GR"/>
        </w:rPr>
        <w:t xml:space="preserve"> reporting at the ESG Working Group meeting on the effectiveness of </w:t>
      </w:r>
      <w:r w:rsidR="00991C8D" w:rsidRPr="00986DAB">
        <w:rPr>
          <w:rFonts w:ascii="Times New Roman" w:eastAsia="Times New Roman" w:hAnsi="Times New Roman" w:cs="Times New Roman"/>
          <w:bCs/>
          <w:color w:val="002060"/>
          <w:sz w:val="24"/>
          <w:szCs w:val="24"/>
          <w:lang w:val="en-GB" w:eastAsia="el-GR"/>
        </w:rPr>
        <w:t>ESMS</w:t>
      </w:r>
      <w:r w:rsidR="00E43489">
        <w:rPr>
          <w:rFonts w:ascii="Times New Roman" w:eastAsia="Times New Roman" w:hAnsi="Times New Roman" w:cs="Times New Roman"/>
          <w:bCs/>
          <w:color w:val="002060"/>
          <w:sz w:val="24"/>
          <w:szCs w:val="24"/>
          <w:lang w:val="en-GB" w:eastAsia="el-GR"/>
        </w:rPr>
        <w:t>.</w:t>
      </w:r>
      <w:r w:rsidR="00D25B48" w:rsidRPr="00986DAB">
        <w:rPr>
          <w:rFonts w:ascii="Times New Roman" w:eastAsia="Times New Roman" w:hAnsi="Times New Roman" w:cs="Times New Roman"/>
          <w:bCs/>
          <w:color w:val="002060"/>
          <w:sz w:val="24"/>
          <w:szCs w:val="24"/>
          <w:lang w:val="en-GB" w:eastAsia="el-GR"/>
        </w:rPr>
        <w:t xml:space="preserve">  </w:t>
      </w:r>
    </w:p>
    <w:p w14:paraId="1CDCA8A8" w14:textId="143A92FB" w:rsidR="00D25B48" w:rsidRPr="00986DAB" w:rsidRDefault="00D25B48" w:rsidP="00036EDD">
      <w:pPr>
        <w:pStyle w:val="ListParagraph"/>
        <w:numPr>
          <w:ilvl w:val="0"/>
          <w:numId w:val="13"/>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Regular monitoring of portfolio projects' compliance with applicable requirements on an ongoing basis</w:t>
      </w:r>
      <w:r w:rsidR="00E43489">
        <w:rPr>
          <w:rFonts w:ascii="Times New Roman" w:eastAsia="Times New Roman" w:hAnsi="Times New Roman" w:cs="Times New Roman"/>
          <w:bCs/>
          <w:color w:val="002060"/>
          <w:sz w:val="24"/>
          <w:szCs w:val="24"/>
          <w:lang w:val="en-GB" w:eastAsia="el-GR"/>
        </w:rPr>
        <w:t>.</w:t>
      </w:r>
    </w:p>
    <w:p w14:paraId="583EE74F" w14:textId="11933BC0" w:rsidR="00D25B48" w:rsidRPr="00986DAB" w:rsidRDefault="00D25B48" w:rsidP="00036EDD">
      <w:pPr>
        <w:pStyle w:val="ListParagraph"/>
        <w:numPr>
          <w:ilvl w:val="0"/>
          <w:numId w:val="13"/>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Verifying that these procedures </w:t>
      </w:r>
      <w:proofErr w:type="gramStart"/>
      <w:r w:rsidRPr="00986DAB">
        <w:rPr>
          <w:rFonts w:ascii="Times New Roman" w:eastAsia="Times New Roman" w:hAnsi="Times New Roman" w:cs="Times New Roman"/>
          <w:bCs/>
          <w:color w:val="002060"/>
          <w:sz w:val="24"/>
          <w:szCs w:val="24"/>
          <w:lang w:val="en-GB" w:eastAsia="el-GR"/>
        </w:rPr>
        <w:t>are implemented</w:t>
      </w:r>
      <w:proofErr w:type="gramEnd"/>
      <w:r w:rsidRPr="00986DAB">
        <w:rPr>
          <w:rFonts w:ascii="Times New Roman" w:eastAsia="Times New Roman" w:hAnsi="Times New Roman" w:cs="Times New Roman"/>
          <w:bCs/>
          <w:color w:val="002060"/>
          <w:sz w:val="24"/>
          <w:szCs w:val="24"/>
          <w:lang w:val="en-GB" w:eastAsia="el-GR"/>
        </w:rPr>
        <w:t xml:space="preserve"> for each project and that environmental due diligence records (i.e. assessment and monitoring) are maintained</w:t>
      </w:r>
      <w:r w:rsidR="00E43489">
        <w:rPr>
          <w:rFonts w:ascii="Times New Roman" w:eastAsia="Times New Roman" w:hAnsi="Times New Roman" w:cs="Times New Roman"/>
          <w:bCs/>
          <w:color w:val="002060"/>
          <w:sz w:val="24"/>
          <w:szCs w:val="24"/>
          <w:lang w:val="en-GB" w:eastAsia="el-GR"/>
        </w:rPr>
        <w:t>.</w:t>
      </w:r>
    </w:p>
    <w:p w14:paraId="003C96F9" w14:textId="26D64B3B" w:rsidR="00D25B48" w:rsidRPr="00986DAB" w:rsidRDefault="00D25B48" w:rsidP="00036EDD">
      <w:pPr>
        <w:pStyle w:val="ListParagraph"/>
        <w:numPr>
          <w:ilvl w:val="0"/>
          <w:numId w:val="13"/>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Maintaining a register of qualified consultants who can be engaged to assist with environmental due diligence</w:t>
      </w:r>
      <w:r w:rsidR="00E43489">
        <w:rPr>
          <w:rFonts w:ascii="Times New Roman" w:eastAsia="Times New Roman" w:hAnsi="Times New Roman" w:cs="Times New Roman"/>
          <w:bCs/>
          <w:color w:val="002060"/>
          <w:sz w:val="24"/>
          <w:szCs w:val="24"/>
          <w:lang w:val="en-GB" w:eastAsia="el-GR"/>
        </w:rPr>
        <w:t>.</w:t>
      </w:r>
    </w:p>
    <w:p w14:paraId="2F7876B2" w14:textId="77777777" w:rsidR="00D25B48" w:rsidRPr="00986DAB" w:rsidRDefault="00D25B48" w:rsidP="00D25B48">
      <w:pPr>
        <w:spacing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One or more ESG coordinators (not yet appointed) may assist the ESG officer in performing their duties.</w:t>
      </w:r>
    </w:p>
    <w:p w14:paraId="3B6E52E6" w14:textId="1FB1CE4D" w:rsidR="00D25B48" w:rsidRPr="00986DAB" w:rsidRDefault="00036EDD" w:rsidP="00D25B48">
      <w:pPr>
        <w:spacing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4.2. </w:t>
      </w:r>
      <w:r w:rsidR="00D25B48" w:rsidRPr="00986DAB">
        <w:rPr>
          <w:rFonts w:ascii="Times New Roman" w:eastAsia="Times New Roman" w:hAnsi="Times New Roman" w:cs="Times New Roman"/>
          <w:bCs/>
          <w:color w:val="002060"/>
          <w:sz w:val="24"/>
          <w:szCs w:val="24"/>
          <w:lang w:val="en-GB" w:eastAsia="el-GR"/>
        </w:rPr>
        <w:t xml:space="preserve">The responsibilities of the Green Banking Specialist (who </w:t>
      </w:r>
      <w:proofErr w:type="gramStart"/>
      <w:r w:rsidR="00D25B48" w:rsidRPr="00986DAB">
        <w:rPr>
          <w:rFonts w:ascii="Times New Roman" w:eastAsia="Times New Roman" w:hAnsi="Times New Roman" w:cs="Times New Roman"/>
          <w:bCs/>
          <w:color w:val="002060"/>
          <w:sz w:val="24"/>
          <w:szCs w:val="24"/>
          <w:lang w:val="en-GB" w:eastAsia="el-GR"/>
        </w:rPr>
        <w:t>may be engaged</w:t>
      </w:r>
      <w:proofErr w:type="gramEnd"/>
      <w:r w:rsidR="00D25B48" w:rsidRPr="00986DAB">
        <w:rPr>
          <w:rFonts w:ascii="Times New Roman" w:eastAsia="Times New Roman" w:hAnsi="Times New Roman" w:cs="Times New Roman"/>
          <w:bCs/>
          <w:color w:val="002060"/>
          <w:sz w:val="24"/>
          <w:szCs w:val="24"/>
          <w:lang w:val="en-GB" w:eastAsia="el-GR"/>
        </w:rPr>
        <w:t xml:space="preserve"> by the Bank on an outsourcing basis) include</w:t>
      </w:r>
      <w:r w:rsidR="00E43489">
        <w:rPr>
          <w:rFonts w:ascii="Times New Roman" w:eastAsia="Times New Roman" w:hAnsi="Times New Roman" w:cs="Times New Roman"/>
          <w:bCs/>
          <w:color w:val="002060"/>
          <w:sz w:val="24"/>
          <w:szCs w:val="24"/>
          <w:lang w:val="en-GB" w:eastAsia="el-GR"/>
        </w:rPr>
        <w:t>:</w:t>
      </w:r>
    </w:p>
    <w:p w14:paraId="126F0751" w14:textId="77777777" w:rsidR="00D25B48" w:rsidRPr="00986DAB" w:rsidRDefault="00D25B48" w:rsidP="00036EDD">
      <w:pPr>
        <w:pStyle w:val="ListParagraph"/>
        <w:numPr>
          <w:ilvl w:val="0"/>
          <w:numId w:val="14"/>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Conducting a comprehensive analysis of environmental and project safety risks in cases of unjustified risk for medium and high-risk projects.</w:t>
      </w:r>
    </w:p>
    <w:p w14:paraId="48786606" w14:textId="7D542A98" w:rsidR="00D25B48" w:rsidRPr="00986DAB" w:rsidRDefault="00D25B48" w:rsidP="00036EDD">
      <w:pPr>
        <w:pStyle w:val="ListParagraph"/>
        <w:numPr>
          <w:ilvl w:val="0"/>
          <w:numId w:val="14"/>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For complex projects or projects that exceed the thresholds specified in </w:t>
      </w:r>
      <w:r w:rsidR="00E91470">
        <w:rPr>
          <w:rFonts w:ascii="Times New Roman" w:eastAsia="Times New Roman" w:hAnsi="Times New Roman" w:cs="Times New Roman"/>
          <w:bCs/>
          <w:color w:val="002060"/>
          <w:sz w:val="24"/>
          <w:szCs w:val="24"/>
          <w:lang w:val="en-GB" w:eastAsia="el-GR"/>
        </w:rPr>
        <w:t>Annex</w:t>
      </w:r>
      <w:r w:rsidRPr="00986DAB">
        <w:rPr>
          <w:rFonts w:ascii="Times New Roman" w:eastAsia="Times New Roman" w:hAnsi="Times New Roman" w:cs="Times New Roman"/>
          <w:bCs/>
          <w:color w:val="002060"/>
          <w:sz w:val="24"/>
          <w:szCs w:val="24"/>
          <w:lang w:val="en-GB" w:eastAsia="el-GR"/>
        </w:rPr>
        <w:t xml:space="preserve"> C</w:t>
      </w:r>
      <w:r w:rsidR="00E43489">
        <w:rPr>
          <w:rFonts w:ascii="Times New Roman" w:eastAsia="Times New Roman" w:hAnsi="Times New Roman" w:cs="Times New Roman"/>
          <w:bCs/>
          <w:color w:val="002060"/>
          <w:sz w:val="24"/>
          <w:szCs w:val="24"/>
          <w:lang w:val="en-GB" w:eastAsia="el-GR"/>
        </w:rPr>
        <w:t>:</w:t>
      </w:r>
    </w:p>
    <w:p w14:paraId="4DEEC57A" w14:textId="4114BBD6" w:rsidR="00D25B48" w:rsidRPr="00986DAB" w:rsidRDefault="00D25B48" w:rsidP="00036EDD">
      <w:pPr>
        <w:pStyle w:val="ListParagraph"/>
        <w:numPr>
          <w:ilvl w:val="0"/>
          <w:numId w:val="15"/>
        </w:numPr>
        <w:spacing w:line="240" w:lineRule="auto"/>
        <w:ind w:left="1701"/>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Evaluating all necessary ESG documentation</w:t>
      </w:r>
      <w:r w:rsidR="00E43489">
        <w:rPr>
          <w:rFonts w:ascii="Times New Roman" w:eastAsia="Times New Roman" w:hAnsi="Times New Roman" w:cs="Times New Roman"/>
          <w:bCs/>
          <w:color w:val="002060"/>
          <w:sz w:val="24"/>
          <w:szCs w:val="24"/>
          <w:lang w:val="en-GB" w:eastAsia="el-GR"/>
        </w:rPr>
        <w:t>;</w:t>
      </w:r>
    </w:p>
    <w:p w14:paraId="5C1AB63B" w14:textId="2C25760E" w:rsidR="00D25B48" w:rsidRPr="00986DAB" w:rsidRDefault="00D25B48" w:rsidP="00036EDD">
      <w:pPr>
        <w:pStyle w:val="ListParagraph"/>
        <w:numPr>
          <w:ilvl w:val="0"/>
          <w:numId w:val="15"/>
        </w:numPr>
        <w:spacing w:line="240" w:lineRule="auto"/>
        <w:ind w:left="1701"/>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Conducting a co</w:t>
      </w:r>
      <w:r w:rsidR="00E43489">
        <w:rPr>
          <w:rFonts w:ascii="Times New Roman" w:eastAsia="Times New Roman" w:hAnsi="Times New Roman" w:cs="Times New Roman"/>
          <w:bCs/>
          <w:color w:val="002060"/>
          <w:sz w:val="24"/>
          <w:szCs w:val="24"/>
          <w:lang w:val="en-GB" w:eastAsia="el-GR"/>
        </w:rPr>
        <w:t>mprehensive ESG risk assessment;</w:t>
      </w:r>
    </w:p>
    <w:p w14:paraId="07CDD845" w14:textId="53500F0F" w:rsidR="00D25B48" w:rsidRPr="00986DAB" w:rsidRDefault="00D25B48" w:rsidP="00036EDD">
      <w:pPr>
        <w:pStyle w:val="ListParagraph"/>
        <w:numPr>
          <w:ilvl w:val="0"/>
          <w:numId w:val="15"/>
        </w:numPr>
        <w:spacing w:line="240" w:lineRule="auto"/>
        <w:ind w:left="1701"/>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Provision of a comprehensive review report during the loan approval process</w:t>
      </w:r>
      <w:r w:rsidR="00E43489">
        <w:rPr>
          <w:rFonts w:ascii="Times New Roman" w:eastAsia="Times New Roman" w:hAnsi="Times New Roman" w:cs="Times New Roman"/>
          <w:bCs/>
          <w:color w:val="002060"/>
          <w:sz w:val="24"/>
          <w:szCs w:val="24"/>
          <w:lang w:val="en-GB" w:eastAsia="el-GR"/>
        </w:rPr>
        <w:t>.</w:t>
      </w:r>
    </w:p>
    <w:p w14:paraId="7EEE7294" w14:textId="77777777" w:rsidR="00D25B48" w:rsidRPr="00986DAB" w:rsidRDefault="00D25B48" w:rsidP="00036EDD">
      <w:pPr>
        <w:pStyle w:val="ListParagraph"/>
        <w:numPr>
          <w:ilvl w:val="0"/>
          <w:numId w:val="16"/>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Provision of proposals for appropriate environmental assurances, guarantees and commitments for projects where the involvement of such a specialist is required (unjustified risk in high/medium risk projects).</w:t>
      </w:r>
    </w:p>
    <w:p w14:paraId="1CAE9BB8" w14:textId="60F7406C" w:rsidR="00D25B48" w:rsidRPr="00986DAB" w:rsidRDefault="00D25B48" w:rsidP="00036EDD">
      <w:pPr>
        <w:pStyle w:val="ListParagraph"/>
        <w:numPr>
          <w:ilvl w:val="0"/>
          <w:numId w:val="16"/>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lastRenderedPageBreak/>
        <w:t>Preparation of necessary training materials and delivery of training programmes</w:t>
      </w:r>
      <w:r w:rsidR="00E43489">
        <w:rPr>
          <w:rFonts w:ascii="Times New Roman" w:eastAsia="Times New Roman" w:hAnsi="Times New Roman" w:cs="Times New Roman"/>
          <w:bCs/>
          <w:color w:val="002060"/>
          <w:sz w:val="24"/>
          <w:szCs w:val="24"/>
          <w:lang w:val="en-GB" w:eastAsia="el-GR"/>
        </w:rPr>
        <w:t>.</w:t>
      </w:r>
    </w:p>
    <w:p w14:paraId="7198905F" w14:textId="77777777" w:rsidR="00D25B48" w:rsidRPr="00986DAB" w:rsidRDefault="00D25B48" w:rsidP="00036EDD">
      <w:pPr>
        <w:pStyle w:val="ListParagraph"/>
        <w:numPr>
          <w:ilvl w:val="0"/>
          <w:numId w:val="16"/>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Provision of technical support to the personnel involved.</w:t>
      </w:r>
    </w:p>
    <w:p w14:paraId="04E78500" w14:textId="5177DC9F" w:rsidR="00D25B48" w:rsidRPr="00986DAB" w:rsidRDefault="00036EDD" w:rsidP="00D25B48">
      <w:pPr>
        <w:spacing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4.3. </w:t>
      </w:r>
      <w:r w:rsidR="00E43489">
        <w:rPr>
          <w:rFonts w:ascii="Times New Roman" w:eastAsia="Times New Roman" w:hAnsi="Times New Roman" w:cs="Times New Roman"/>
          <w:bCs/>
          <w:color w:val="002060"/>
          <w:sz w:val="24"/>
          <w:szCs w:val="24"/>
          <w:lang w:val="en-GB" w:eastAsia="el-GR"/>
        </w:rPr>
        <w:t>The responsibilities of Business U</w:t>
      </w:r>
      <w:r w:rsidR="00D25B48" w:rsidRPr="00986DAB">
        <w:rPr>
          <w:rFonts w:ascii="Times New Roman" w:eastAsia="Times New Roman" w:hAnsi="Times New Roman" w:cs="Times New Roman"/>
          <w:bCs/>
          <w:color w:val="002060"/>
          <w:sz w:val="24"/>
          <w:szCs w:val="24"/>
          <w:lang w:val="en-GB" w:eastAsia="el-GR"/>
        </w:rPr>
        <w:t>nits (e.g., credit portfolio managers, customer service specialists) are as follows:</w:t>
      </w:r>
    </w:p>
    <w:p w14:paraId="40E60779" w14:textId="59129E20" w:rsidR="00D25B48" w:rsidRPr="00986DAB" w:rsidRDefault="00D25B48" w:rsidP="00036EDD">
      <w:pPr>
        <w:pStyle w:val="ListParagraph"/>
        <w:numPr>
          <w:ilvl w:val="0"/>
          <w:numId w:val="17"/>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Compliance with </w:t>
      </w:r>
      <w:r w:rsidR="00991C8D" w:rsidRPr="00986DAB">
        <w:rPr>
          <w:rFonts w:ascii="Times New Roman" w:eastAsia="Times New Roman" w:hAnsi="Times New Roman" w:cs="Times New Roman"/>
          <w:bCs/>
          <w:color w:val="002060"/>
          <w:sz w:val="24"/>
          <w:szCs w:val="24"/>
          <w:lang w:val="en-GB" w:eastAsia="el-GR"/>
        </w:rPr>
        <w:t>ESMS</w:t>
      </w:r>
      <w:r w:rsidRPr="00986DAB">
        <w:rPr>
          <w:rFonts w:ascii="Times New Roman" w:eastAsia="Times New Roman" w:hAnsi="Times New Roman" w:cs="Times New Roman"/>
          <w:bCs/>
          <w:color w:val="002060"/>
          <w:sz w:val="24"/>
          <w:szCs w:val="24"/>
          <w:lang w:val="en-GB" w:eastAsia="el-GR"/>
        </w:rPr>
        <w:t xml:space="preserve"> procedures at the transaction level</w:t>
      </w:r>
      <w:r w:rsidR="00E43489">
        <w:rPr>
          <w:rFonts w:ascii="Times New Roman" w:eastAsia="Times New Roman" w:hAnsi="Times New Roman" w:cs="Times New Roman"/>
          <w:bCs/>
          <w:color w:val="002060"/>
          <w:sz w:val="24"/>
          <w:szCs w:val="24"/>
          <w:lang w:val="en-GB" w:eastAsia="el-GR"/>
        </w:rPr>
        <w:t>.</w:t>
      </w:r>
    </w:p>
    <w:p w14:paraId="53B988D1" w14:textId="6245990B" w:rsidR="00D25B48" w:rsidRPr="00986DAB" w:rsidRDefault="00D25B48" w:rsidP="00036EDD">
      <w:pPr>
        <w:pStyle w:val="ListParagraph"/>
        <w:numPr>
          <w:ilvl w:val="0"/>
          <w:numId w:val="17"/>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Checking the project for complia</w:t>
      </w:r>
      <w:r w:rsidR="00E43489">
        <w:rPr>
          <w:rFonts w:ascii="Times New Roman" w:eastAsia="Times New Roman" w:hAnsi="Times New Roman" w:cs="Times New Roman"/>
          <w:bCs/>
          <w:color w:val="002060"/>
          <w:sz w:val="24"/>
          <w:szCs w:val="24"/>
          <w:lang w:val="en-GB" w:eastAsia="el-GR"/>
        </w:rPr>
        <w:t>nce with the List of Exceptions.</w:t>
      </w:r>
    </w:p>
    <w:p w14:paraId="0FC2AE4B" w14:textId="4B070DE3" w:rsidR="00D25B48" w:rsidRPr="00986DAB" w:rsidRDefault="00D25B48" w:rsidP="00036EDD">
      <w:pPr>
        <w:pStyle w:val="ListParagraph"/>
        <w:numPr>
          <w:ilvl w:val="0"/>
          <w:numId w:val="17"/>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Collecting all necessary documentation</w:t>
      </w:r>
      <w:r w:rsidR="00E43489">
        <w:rPr>
          <w:rFonts w:ascii="Times New Roman" w:eastAsia="Times New Roman" w:hAnsi="Times New Roman" w:cs="Times New Roman"/>
          <w:bCs/>
          <w:color w:val="002060"/>
          <w:sz w:val="24"/>
          <w:szCs w:val="24"/>
          <w:lang w:val="en-GB" w:eastAsia="el-GR"/>
        </w:rPr>
        <w:t>.</w:t>
      </w:r>
    </w:p>
    <w:p w14:paraId="3AA52A18" w14:textId="079E1532" w:rsidR="00D25B48" w:rsidRPr="00986DAB" w:rsidRDefault="00D25B48" w:rsidP="00036EDD">
      <w:pPr>
        <w:pStyle w:val="ListParagraph"/>
        <w:numPr>
          <w:ilvl w:val="0"/>
          <w:numId w:val="17"/>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Assigning an ESG risk level to the project</w:t>
      </w:r>
      <w:r w:rsidR="00E43489">
        <w:rPr>
          <w:rFonts w:ascii="Times New Roman" w:eastAsia="Times New Roman" w:hAnsi="Times New Roman" w:cs="Times New Roman"/>
          <w:bCs/>
          <w:color w:val="002060"/>
          <w:sz w:val="24"/>
          <w:szCs w:val="24"/>
          <w:lang w:val="en-GB" w:eastAsia="el-GR"/>
        </w:rPr>
        <w:t>.</w:t>
      </w:r>
    </w:p>
    <w:p w14:paraId="6D4CB30F" w14:textId="103DEAD9" w:rsidR="00D25B48" w:rsidRPr="00986DAB" w:rsidRDefault="00D25B48" w:rsidP="00036EDD">
      <w:pPr>
        <w:pStyle w:val="ListParagraph"/>
        <w:numPr>
          <w:ilvl w:val="0"/>
          <w:numId w:val="17"/>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Discussing, negotiating and agreeing with the customer on possible measures to mitigate ESG </w:t>
      </w:r>
      <w:r w:rsidR="00340778" w:rsidRPr="00986DAB">
        <w:rPr>
          <w:rFonts w:ascii="Times New Roman" w:eastAsia="Times New Roman" w:hAnsi="Times New Roman" w:cs="Times New Roman"/>
          <w:bCs/>
          <w:color w:val="002060"/>
          <w:sz w:val="24"/>
          <w:szCs w:val="24"/>
          <w:lang w:val="en-GB" w:eastAsia="el-GR"/>
        </w:rPr>
        <w:t>risks</w:t>
      </w:r>
      <w:r w:rsidRPr="00986DAB">
        <w:rPr>
          <w:rFonts w:ascii="Times New Roman" w:eastAsia="Times New Roman" w:hAnsi="Times New Roman" w:cs="Times New Roman"/>
          <w:bCs/>
          <w:color w:val="002060"/>
          <w:sz w:val="24"/>
          <w:szCs w:val="24"/>
          <w:lang w:val="en-GB" w:eastAsia="el-GR"/>
        </w:rPr>
        <w:t>, which should be included in the action plan and credit agreement.</w:t>
      </w:r>
    </w:p>
    <w:p w14:paraId="327E2635" w14:textId="1F051C29" w:rsidR="00D25B48" w:rsidRPr="00986DAB" w:rsidRDefault="00036EDD" w:rsidP="00D25B48">
      <w:pPr>
        <w:spacing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4.4. </w:t>
      </w:r>
      <w:r w:rsidR="00E43489">
        <w:rPr>
          <w:rFonts w:ascii="Times New Roman" w:eastAsia="Times New Roman" w:hAnsi="Times New Roman" w:cs="Times New Roman"/>
          <w:bCs/>
          <w:color w:val="002060"/>
          <w:sz w:val="24"/>
          <w:szCs w:val="24"/>
          <w:lang w:val="en-GB" w:eastAsia="el-GR"/>
        </w:rPr>
        <w:t>The responsibilities of a Credit U</w:t>
      </w:r>
      <w:r w:rsidR="00D25B48" w:rsidRPr="00986DAB">
        <w:rPr>
          <w:rFonts w:ascii="Times New Roman" w:eastAsia="Times New Roman" w:hAnsi="Times New Roman" w:cs="Times New Roman"/>
          <w:bCs/>
          <w:color w:val="002060"/>
          <w:sz w:val="24"/>
          <w:szCs w:val="24"/>
          <w:lang w:val="en-GB" w:eastAsia="el-GR"/>
        </w:rPr>
        <w:t xml:space="preserve">nderwriting </w:t>
      </w:r>
      <w:r w:rsidR="00935B77">
        <w:rPr>
          <w:rFonts w:ascii="Times New Roman" w:eastAsia="Times New Roman" w:hAnsi="Times New Roman" w:cs="Times New Roman"/>
          <w:bCs/>
          <w:color w:val="002060"/>
          <w:sz w:val="24"/>
          <w:szCs w:val="24"/>
          <w:lang w:val="en-GB" w:eastAsia="el-GR"/>
        </w:rPr>
        <w:t>Division</w:t>
      </w:r>
      <w:r w:rsidR="00D25B48" w:rsidRPr="00986DAB">
        <w:rPr>
          <w:rFonts w:ascii="Times New Roman" w:eastAsia="Times New Roman" w:hAnsi="Times New Roman" w:cs="Times New Roman"/>
          <w:bCs/>
          <w:color w:val="002060"/>
          <w:sz w:val="24"/>
          <w:szCs w:val="24"/>
          <w:lang w:val="en-GB" w:eastAsia="el-GR"/>
        </w:rPr>
        <w:t xml:space="preserve"> employee include</w:t>
      </w:r>
      <w:r w:rsidR="00395373">
        <w:rPr>
          <w:rFonts w:ascii="Times New Roman" w:eastAsia="Times New Roman" w:hAnsi="Times New Roman" w:cs="Times New Roman"/>
          <w:bCs/>
          <w:color w:val="002060"/>
          <w:sz w:val="24"/>
          <w:szCs w:val="24"/>
          <w:lang w:val="en-GB" w:eastAsia="el-GR"/>
        </w:rPr>
        <w:t>:</w:t>
      </w:r>
    </w:p>
    <w:p w14:paraId="2C8C9E7D" w14:textId="4BD95C39" w:rsidR="00D25B48" w:rsidRPr="00986DAB" w:rsidRDefault="00D25B48" w:rsidP="00036EDD">
      <w:pPr>
        <w:pStyle w:val="ListParagraph"/>
        <w:numPr>
          <w:ilvl w:val="0"/>
          <w:numId w:val="18"/>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Ensuring that the procedures described in the Credit Policy, which reflect the implementation of </w:t>
      </w:r>
      <w:r w:rsidR="00991C8D" w:rsidRPr="00986DAB">
        <w:rPr>
          <w:rFonts w:ascii="Times New Roman" w:eastAsia="Times New Roman" w:hAnsi="Times New Roman" w:cs="Times New Roman"/>
          <w:bCs/>
          <w:color w:val="002060"/>
          <w:sz w:val="24"/>
          <w:szCs w:val="24"/>
          <w:lang w:val="en-GB" w:eastAsia="el-GR"/>
        </w:rPr>
        <w:t>ESMS</w:t>
      </w:r>
      <w:r w:rsidRPr="00986DAB">
        <w:rPr>
          <w:rFonts w:ascii="Times New Roman" w:eastAsia="Times New Roman" w:hAnsi="Times New Roman" w:cs="Times New Roman"/>
          <w:bCs/>
          <w:color w:val="002060"/>
          <w:sz w:val="24"/>
          <w:szCs w:val="24"/>
          <w:lang w:val="en-GB" w:eastAsia="el-GR"/>
        </w:rPr>
        <w:t xml:space="preserve">, </w:t>
      </w:r>
      <w:proofErr w:type="gramStart"/>
      <w:r w:rsidRPr="00986DAB">
        <w:rPr>
          <w:rFonts w:ascii="Times New Roman" w:eastAsia="Times New Roman" w:hAnsi="Times New Roman" w:cs="Times New Roman"/>
          <w:bCs/>
          <w:color w:val="002060"/>
          <w:sz w:val="24"/>
          <w:szCs w:val="24"/>
          <w:lang w:val="en-GB" w:eastAsia="el-GR"/>
        </w:rPr>
        <w:t>are applied</w:t>
      </w:r>
      <w:proofErr w:type="gramEnd"/>
      <w:r w:rsidRPr="00986DAB">
        <w:rPr>
          <w:rFonts w:ascii="Times New Roman" w:eastAsia="Times New Roman" w:hAnsi="Times New Roman" w:cs="Times New Roman"/>
          <w:bCs/>
          <w:color w:val="002060"/>
          <w:sz w:val="24"/>
          <w:szCs w:val="24"/>
          <w:lang w:val="en-GB" w:eastAsia="el-GR"/>
        </w:rPr>
        <w:t xml:space="preserve"> to each project</w:t>
      </w:r>
      <w:r w:rsidR="00E43489">
        <w:rPr>
          <w:rFonts w:ascii="Times New Roman" w:eastAsia="Times New Roman" w:hAnsi="Times New Roman" w:cs="Times New Roman"/>
          <w:bCs/>
          <w:color w:val="002060"/>
          <w:sz w:val="24"/>
          <w:szCs w:val="24"/>
          <w:lang w:val="en-GB" w:eastAsia="el-GR"/>
        </w:rPr>
        <w:t>.</w:t>
      </w:r>
    </w:p>
    <w:p w14:paraId="29A8F615" w14:textId="77777777" w:rsidR="00D25B48" w:rsidRPr="00986DAB" w:rsidRDefault="00D25B48" w:rsidP="00036EDD">
      <w:pPr>
        <w:pStyle w:val="ListParagraph"/>
        <w:numPr>
          <w:ilvl w:val="0"/>
          <w:numId w:val="18"/>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Assess and include in the credit assessment proposals provided by the Green Banking Specialist.</w:t>
      </w:r>
    </w:p>
    <w:p w14:paraId="51F540D8" w14:textId="77777777" w:rsidR="00D25B48" w:rsidRPr="00986DAB" w:rsidRDefault="00D25B48" w:rsidP="00036EDD">
      <w:pPr>
        <w:pStyle w:val="ListParagraph"/>
        <w:numPr>
          <w:ilvl w:val="0"/>
          <w:numId w:val="18"/>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Applying covenants, appropriate fees and additional coverage during the loan approval process, if necessary.</w:t>
      </w:r>
    </w:p>
    <w:p w14:paraId="48C587AB" w14:textId="2909FDBB" w:rsidR="00D25B48" w:rsidRPr="00986DAB" w:rsidRDefault="00BA2632" w:rsidP="00D25B48">
      <w:pPr>
        <w:spacing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4.5. </w:t>
      </w:r>
      <w:r w:rsidR="00D25B48" w:rsidRPr="00986DAB">
        <w:rPr>
          <w:rFonts w:ascii="Times New Roman" w:eastAsia="Times New Roman" w:hAnsi="Times New Roman" w:cs="Times New Roman"/>
          <w:bCs/>
          <w:color w:val="002060"/>
          <w:sz w:val="24"/>
          <w:szCs w:val="24"/>
          <w:lang w:val="en-GB" w:eastAsia="el-GR"/>
        </w:rPr>
        <w:t xml:space="preserve">Responsibilities of the Risk Management </w:t>
      </w:r>
      <w:r w:rsidR="00935B77">
        <w:rPr>
          <w:rFonts w:ascii="Times New Roman" w:eastAsia="Times New Roman" w:hAnsi="Times New Roman" w:cs="Times New Roman"/>
          <w:bCs/>
          <w:color w:val="002060"/>
          <w:sz w:val="24"/>
          <w:szCs w:val="24"/>
          <w:lang w:val="en-GB" w:eastAsia="el-GR"/>
        </w:rPr>
        <w:t>Division</w:t>
      </w:r>
      <w:r w:rsidR="00D25B48" w:rsidRPr="00986DAB">
        <w:rPr>
          <w:rFonts w:ascii="Times New Roman" w:eastAsia="Times New Roman" w:hAnsi="Times New Roman" w:cs="Times New Roman"/>
          <w:bCs/>
          <w:color w:val="002060"/>
          <w:sz w:val="24"/>
          <w:szCs w:val="24"/>
          <w:lang w:val="en-GB" w:eastAsia="el-GR"/>
        </w:rPr>
        <w:t>:</w:t>
      </w:r>
    </w:p>
    <w:p w14:paraId="5CF285DC" w14:textId="564E6C32" w:rsidR="00D25B48" w:rsidRPr="00986DAB" w:rsidRDefault="00D25B48" w:rsidP="00036EDD">
      <w:pPr>
        <w:pStyle w:val="ListParagraph"/>
        <w:numPr>
          <w:ilvl w:val="0"/>
          <w:numId w:val="19"/>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Implementation and review of the Bank's ESG policy</w:t>
      </w:r>
    </w:p>
    <w:p w14:paraId="093F86B7" w14:textId="7D181BE8" w:rsidR="00D25B48" w:rsidRPr="0008078C" w:rsidRDefault="00340778" w:rsidP="0008078C">
      <w:pPr>
        <w:pStyle w:val="ListParagraph"/>
        <w:numPr>
          <w:ilvl w:val="0"/>
          <w:numId w:val="19"/>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Assessment of ESG risk appetite as part of the Risk and Capital Management Strategy</w:t>
      </w:r>
    </w:p>
    <w:p w14:paraId="651FC6D6" w14:textId="7B454DF7" w:rsidR="00D25B48" w:rsidRPr="00986DAB" w:rsidRDefault="00D25B48" w:rsidP="00036EDD">
      <w:pPr>
        <w:pStyle w:val="ListParagraph"/>
        <w:numPr>
          <w:ilvl w:val="0"/>
          <w:numId w:val="19"/>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Collection of necessary training materials and implementation of training programmes as </w:t>
      </w:r>
      <w:r w:rsidR="00340778" w:rsidRPr="00986DAB">
        <w:rPr>
          <w:rFonts w:ascii="Times New Roman" w:eastAsia="Times New Roman" w:hAnsi="Times New Roman" w:cs="Times New Roman"/>
          <w:bCs/>
          <w:color w:val="002060"/>
          <w:sz w:val="24"/>
          <w:szCs w:val="24"/>
          <w:lang w:val="en-GB" w:eastAsia="el-GR"/>
        </w:rPr>
        <w:t>needed</w:t>
      </w:r>
    </w:p>
    <w:p w14:paraId="0F1BEDF7" w14:textId="77777777" w:rsidR="00D25B48" w:rsidRPr="00986DAB" w:rsidRDefault="00D25B48" w:rsidP="00036EDD">
      <w:pPr>
        <w:pStyle w:val="ListParagraph"/>
        <w:numPr>
          <w:ilvl w:val="0"/>
          <w:numId w:val="19"/>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Collecting data and submitting Annual ESG Reports</w:t>
      </w:r>
    </w:p>
    <w:p w14:paraId="3D84D7A0" w14:textId="77777777" w:rsidR="00D25B48" w:rsidRPr="00986DAB" w:rsidRDefault="00BA2632" w:rsidP="00D25B48">
      <w:pPr>
        <w:spacing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4.6. </w:t>
      </w:r>
      <w:r w:rsidR="00D25B48" w:rsidRPr="00986DAB">
        <w:rPr>
          <w:rFonts w:ascii="Times New Roman" w:eastAsia="Times New Roman" w:hAnsi="Times New Roman" w:cs="Times New Roman"/>
          <w:bCs/>
          <w:color w:val="002060"/>
          <w:sz w:val="24"/>
          <w:szCs w:val="24"/>
          <w:lang w:val="en-GB" w:eastAsia="el-GR"/>
        </w:rPr>
        <w:t>Responsibilities of the Legal Department:</w:t>
      </w:r>
    </w:p>
    <w:p w14:paraId="2C50E620" w14:textId="07FC1353" w:rsidR="00D25B48" w:rsidRPr="00986DAB" w:rsidRDefault="00395373" w:rsidP="00395373">
      <w:pPr>
        <w:pStyle w:val="ListParagraph"/>
        <w:numPr>
          <w:ilvl w:val="0"/>
          <w:numId w:val="20"/>
        </w:numPr>
        <w:spacing w:line="240" w:lineRule="auto"/>
        <w:jc w:val="both"/>
        <w:rPr>
          <w:rFonts w:ascii="Times New Roman" w:eastAsia="Times New Roman" w:hAnsi="Times New Roman" w:cs="Times New Roman"/>
          <w:bCs/>
          <w:color w:val="002060"/>
          <w:sz w:val="24"/>
          <w:szCs w:val="24"/>
          <w:lang w:val="en-GB" w:eastAsia="el-GR"/>
        </w:rPr>
      </w:pPr>
      <w:r w:rsidRPr="00395373">
        <w:rPr>
          <w:rFonts w:ascii="Times New Roman" w:eastAsia="Times New Roman" w:hAnsi="Times New Roman" w:cs="Times New Roman"/>
          <w:bCs/>
          <w:color w:val="002060"/>
          <w:sz w:val="24"/>
          <w:szCs w:val="24"/>
          <w:lang w:val="en-GB" w:eastAsia="el-GR"/>
        </w:rPr>
        <w:t>Providing recommendations on amendments to standard lending agreements to ensure they comply with the applicable national legislation in the areas of environmental protection, health, and safety</w:t>
      </w:r>
      <w:r w:rsidR="00D25B48" w:rsidRPr="00986DAB">
        <w:rPr>
          <w:rFonts w:ascii="Times New Roman" w:eastAsia="Times New Roman" w:hAnsi="Times New Roman" w:cs="Times New Roman"/>
          <w:bCs/>
          <w:color w:val="002060"/>
          <w:sz w:val="24"/>
          <w:szCs w:val="24"/>
          <w:lang w:val="en-GB" w:eastAsia="el-GR"/>
        </w:rPr>
        <w:t>.</w:t>
      </w:r>
    </w:p>
    <w:p w14:paraId="36991AAA" w14:textId="680BDC0C" w:rsidR="00D25B48" w:rsidRPr="00986DAB" w:rsidRDefault="00E43489" w:rsidP="00E43489">
      <w:pPr>
        <w:pStyle w:val="ListParagraph"/>
        <w:numPr>
          <w:ilvl w:val="0"/>
          <w:numId w:val="20"/>
        </w:numPr>
        <w:spacing w:line="240" w:lineRule="auto"/>
        <w:jc w:val="both"/>
        <w:rPr>
          <w:rFonts w:ascii="Times New Roman" w:eastAsia="Times New Roman" w:hAnsi="Times New Roman" w:cs="Times New Roman"/>
          <w:bCs/>
          <w:color w:val="002060"/>
          <w:sz w:val="24"/>
          <w:szCs w:val="24"/>
          <w:lang w:val="en-GB" w:eastAsia="el-GR"/>
        </w:rPr>
      </w:pPr>
      <w:r w:rsidRPr="00E43489">
        <w:rPr>
          <w:rFonts w:ascii="Times New Roman" w:eastAsia="Times New Roman" w:hAnsi="Times New Roman" w:cs="Times New Roman"/>
          <w:bCs/>
          <w:color w:val="002060"/>
          <w:sz w:val="24"/>
          <w:szCs w:val="24"/>
          <w:lang w:val="en-GB" w:eastAsia="el-GR"/>
        </w:rPr>
        <w:t>Providing advice on incorporating into standard loan agreements specific clauses on the client’s obligations ar</w:t>
      </w:r>
      <w:r>
        <w:rPr>
          <w:rFonts w:ascii="Times New Roman" w:eastAsia="Times New Roman" w:hAnsi="Times New Roman" w:cs="Times New Roman"/>
          <w:bCs/>
          <w:color w:val="002060"/>
          <w:sz w:val="24"/>
          <w:szCs w:val="24"/>
          <w:lang w:val="en-GB" w:eastAsia="el-GR"/>
        </w:rPr>
        <w:t>ising from the ESMS procedures</w:t>
      </w:r>
      <w:r w:rsidR="00D25B48" w:rsidRPr="00986DAB">
        <w:rPr>
          <w:rFonts w:ascii="Times New Roman" w:eastAsia="Times New Roman" w:hAnsi="Times New Roman" w:cs="Times New Roman"/>
          <w:bCs/>
          <w:color w:val="002060"/>
          <w:sz w:val="24"/>
          <w:szCs w:val="24"/>
          <w:lang w:val="en-GB" w:eastAsia="el-GR"/>
        </w:rPr>
        <w:t>.</w:t>
      </w:r>
    </w:p>
    <w:p w14:paraId="2AA0B8B6" w14:textId="77777777" w:rsidR="00D25B48" w:rsidRPr="00986DAB" w:rsidRDefault="00D25B48" w:rsidP="00036EDD">
      <w:pPr>
        <w:pStyle w:val="ListParagraph"/>
        <w:numPr>
          <w:ilvl w:val="0"/>
          <w:numId w:val="20"/>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Advising on whether a client's failure to comply with ESG provisions constitutes a breach of contract and whether it </w:t>
      </w:r>
      <w:proofErr w:type="gramStart"/>
      <w:r w:rsidRPr="00986DAB">
        <w:rPr>
          <w:rFonts w:ascii="Times New Roman" w:eastAsia="Times New Roman" w:hAnsi="Times New Roman" w:cs="Times New Roman"/>
          <w:bCs/>
          <w:color w:val="002060"/>
          <w:sz w:val="24"/>
          <w:szCs w:val="24"/>
          <w:lang w:val="en-GB" w:eastAsia="el-GR"/>
        </w:rPr>
        <w:t>is considered</w:t>
      </w:r>
      <w:proofErr w:type="gramEnd"/>
      <w:r w:rsidRPr="00986DAB">
        <w:rPr>
          <w:rFonts w:ascii="Times New Roman" w:eastAsia="Times New Roman" w:hAnsi="Times New Roman" w:cs="Times New Roman"/>
          <w:bCs/>
          <w:color w:val="002060"/>
          <w:sz w:val="24"/>
          <w:szCs w:val="24"/>
          <w:lang w:val="en-GB" w:eastAsia="el-GR"/>
        </w:rPr>
        <w:t xml:space="preserve"> a default under the terms of the loan agreement.</w:t>
      </w:r>
    </w:p>
    <w:p w14:paraId="72DAE67F" w14:textId="77777777" w:rsidR="00D25B48" w:rsidRPr="00986DAB" w:rsidRDefault="00D25B48" w:rsidP="00036EDD">
      <w:pPr>
        <w:pStyle w:val="ListParagraph"/>
        <w:numPr>
          <w:ilvl w:val="0"/>
          <w:numId w:val="20"/>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Providing advice on specific environmental law issues.</w:t>
      </w:r>
    </w:p>
    <w:p w14:paraId="52C981CF" w14:textId="56565F76" w:rsidR="00D25B48" w:rsidRPr="00986DAB" w:rsidRDefault="00BA2632" w:rsidP="00D25B48">
      <w:pPr>
        <w:spacing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4.7. </w:t>
      </w:r>
      <w:r w:rsidR="00D25B48" w:rsidRPr="00986DAB">
        <w:rPr>
          <w:rFonts w:ascii="Times New Roman" w:eastAsia="Times New Roman" w:hAnsi="Times New Roman" w:cs="Times New Roman"/>
          <w:bCs/>
          <w:color w:val="002060"/>
          <w:sz w:val="24"/>
          <w:szCs w:val="24"/>
          <w:lang w:val="en-GB" w:eastAsia="el-GR"/>
        </w:rPr>
        <w:t xml:space="preserve">Responsibilities of the </w:t>
      </w:r>
      <w:r w:rsidR="00E43489" w:rsidRPr="00E43489">
        <w:rPr>
          <w:rFonts w:ascii="Times New Roman" w:eastAsia="Times New Roman" w:hAnsi="Times New Roman" w:cs="Times New Roman"/>
          <w:bCs/>
          <w:color w:val="002060"/>
          <w:sz w:val="24"/>
          <w:szCs w:val="24"/>
          <w:lang w:val="en-GB" w:eastAsia="el-GR"/>
        </w:rPr>
        <w:t>Remote Customer Care Division</w:t>
      </w:r>
      <w:r w:rsidR="00D25B48" w:rsidRPr="00986DAB">
        <w:rPr>
          <w:rFonts w:ascii="Times New Roman" w:eastAsia="Times New Roman" w:hAnsi="Times New Roman" w:cs="Times New Roman"/>
          <w:bCs/>
          <w:color w:val="002060"/>
          <w:sz w:val="24"/>
          <w:szCs w:val="24"/>
          <w:lang w:val="en-GB" w:eastAsia="el-GR"/>
        </w:rPr>
        <w:t>:</w:t>
      </w:r>
    </w:p>
    <w:p w14:paraId="1785BCCA" w14:textId="77777777" w:rsidR="00D25B48" w:rsidRPr="00986DAB" w:rsidRDefault="00D25B48" w:rsidP="00036EDD">
      <w:pPr>
        <w:pStyle w:val="ListParagraph"/>
        <w:numPr>
          <w:ilvl w:val="0"/>
          <w:numId w:val="21"/>
        </w:numPr>
        <w:spacing w:line="240" w:lineRule="auto"/>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Receiving requests from customers and interested parties, providing explanations and advice.</w:t>
      </w:r>
    </w:p>
    <w:p w14:paraId="00A85C04" w14:textId="77777777" w:rsidR="007F3ABB" w:rsidRPr="00986DAB" w:rsidRDefault="009C764B" w:rsidP="00EF57B3">
      <w:pPr>
        <w:pStyle w:val="Heading1"/>
        <w:ind w:left="567"/>
        <w:rPr>
          <w:rFonts w:ascii="Times New Roman" w:hAnsi="Times New Roman"/>
          <w:b/>
          <w:color w:val="002060"/>
          <w:szCs w:val="24"/>
          <w:lang w:val="en-GB"/>
        </w:rPr>
      </w:pPr>
      <w:bookmarkStart w:id="4" w:name="_Toc216278030"/>
      <w:r w:rsidRPr="00986DAB">
        <w:rPr>
          <w:rFonts w:ascii="Times New Roman" w:hAnsi="Times New Roman"/>
          <w:b/>
          <w:color w:val="002060"/>
          <w:szCs w:val="24"/>
          <w:lang w:val="en-GB"/>
        </w:rPr>
        <w:t xml:space="preserve">5. </w:t>
      </w:r>
      <w:r w:rsidRPr="00986DAB">
        <w:rPr>
          <w:rStyle w:val="Heading1Char"/>
          <w:rFonts w:ascii="Times New Roman" w:hAnsi="Times New Roman"/>
          <w:b/>
          <w:color w:val="002060"/>
          <w:lang w:val="en-GB"/>
        </w:rPr>
        <w:t>INTERNAL CONTROL SYSTEM</w:t>
      </w:r>
      <w:bookmarkEnd w:id="4"/>
      <w:r w:rsidRPr="00986DAB">
        <w:rPr>
          <w:rFonts w:ascii="Times New Roman" w:hAnsi="Times New Roman"/>
          <w:b/>
          <w:color w:val="002060"/>
          <w:szCs w:val="24"/>
          <w:lang w:val="en-GB"/>
        </w:rPr>
        <w:t xml:space="preserve"> </w:t>
      </w:r>
    </w:p>
    <w:p w14:paraId="55DEB5A2" w14:textId="68FEDD2C" w:rsidR="007F3ABB" w:rsidRPr="00986DAB" w:rsidRDefault="009C764B">
      <w:pPr>
        <w:pStyle w:val="ListParagraph"/>
        <w:tabs>
          <w:tab w:val="left" w:pos="142"/>
          <w:tab w:val="left" w:pos="709"/>
          <w:tab w:val="left" w:pos="851"/>
          <w:tab w:val="left" w:pos="993"/>
        </w:tabs>
        <w:spacing w:after="0" w:line="240" w:lineRule="auto"/>
        <w:ind w:left="0" w:firstLine="567"/>
        <w:jc w:val="both"/>
        <w:rPr>
          <w:rFonts w:ascii="Times New Roman" w:hAnsi="Times New Roman"/>
          <w:color w:val="002060"/>
          <w:sz w:val="24"/>
          <w:szCs w:val="24"/>
          <w:lang w:val="en-GB"/>
        </w:rPr>
      </w:pPr>
      <w:r w:rsidRPr="00986DAB">
        <w:rPr>
          <w:rFonts w:ascii="Times New Roman" w:hAnsi="Times New Roman"/>
          <w:color w:val="002060"/>
          <w:sz w:val="24"/>
          <w:szCs w:val="24"/>
          <w:lang w:val="en-GB"/>
        </w:rPr>
        <w:t xml:space="preserve">5.1. Control over compliance with the requirements </w:t>
      </w:r>
      <w:r w:rsidR="00434683" w:rsidRPr="00986DAB">
        <w:rPr>
          <w:rFonts w:ascii="Times New Roman" w:hAnsi="Times New Roman"/>
          <w:color w:val="002060"/>
          <w:sz w:val="24"/>
          <w:szCs w:val="24"/>
          <w:lang w:val="en-GB"/>
        </w:rPr>
        <w:t xml:space="preserve">of this Policy </w:t>
      </w:r>
      <w:proofErr w:type="gramStart"/>
      <w:r w:rsidR="00434683" w:rsidRPr="00986DAB">
        <w:rPr>
          <w:rFonts w:ascii="Times New Roman" w:hAnsi="Times New Roman"/>
          <w:color w:val="002060"/>
          <w:sz w:val="24"/>
          <w:szCs w:val="24"/>
          <w:lang w:val="en-GB"/>
        </w:rPr>
        <w:t>is entrusted</w:t>
      </w:r>
      <w:proofErr w:type="gramEnd"/>
      <w:r w:rsidR="00434683" w:rsidRPr="00986DAB">
        <w:rPr>
          <w:rFonts w:ascii="Times New Roman" w:hAnsi="Times New Roman"/>
          <w:color w:val="002060"/>
          <w:sz w:val="24"/>
          <w:szCs w:val="24"/>
          <w:lang w:val="en-GB"/>
        </w:rPr>
        <w:t xml:space="preserve"> to the Risk Management </w:t>
      </w:r>
      <w:r w:rsidR="00935B77">
        <w:rPr>
          <w:rFonts w:ascii="Times New Roman" w:hAnsi="Times New Roman"/>
          <w:color w:val="002060"/>
          <w:sz w:val="24"/>
          <w:szCs w:val="24"/>
          <w:lang w:val="en-GB"/>
        </w:rPr>
        <w:t>Division</w:t>
      </w:r>
    </w:p>
    <w:p w14:paraId="5BEAD9D3" w14:textId="05E5BE68" w:rsidR="007F3ABB" w:rsidRPr="00986DAB" w:rsidRDefault="009C764B">
      <w:pPr>
        <w:pStyle w:val="ListParagraph"/>
        <w:tabs>
          <w:tab w:val="left" w:pos="142"/>
          <w:tab w:val="left" w:pos="709"/>
          <w:tab w:val="left" w:pos="851"/>
          <w:tab w:val="left" w:pos="993"/>
        </w:tabs>
        <w:spacing w:after="0" w:line="240" w:lineRule="auto"/>
        <w:ind w:left="0" w:firstLine="567"/>
        <w:jc w:val="both"/>
        <w:rPr>
          <w:rFonts w:ascii="Times New Roman" w:hAnsi="Times New Roman"/>
          <w:color w:val="002060"/>
          <w:sz w:val="24"/>
          <w:szCs w:val="24"/>
          <w:lang w:val="en-GB"/>
        </w:rPr>
      </w:pPr>
      <w:r w:rsidRPr="00986DAB">
        <w:rPr>
          <w:rFonts w:ascii="Times New Roman" w:hAnsi="Times New Roman"/>
          <w:color w:val="002060"/>
          <w:sz w:val="24"/>
          <w:szCs w:val="24"/>
          <w:lang w:val="en-GB"/>
        </w:rPr>
        <w:t xml:space="preserve">5.2. </w:t>
      </w:r>
      <w:r w:rsidR="00935B77">
        <w:rPr>
          <w:rFonts w:ascii="Times New Roman" w:hAnsi="Times New Roman"/>
          <w:color w:val="002060"/>
          <w:sz w:val="24"/>
          <w:szCs w:val="24"/>
          <w:lang w:val="en-GB"/>
        </w:rPr>
        <w:t>Employees of the Bank's u</w:t>
      </w:r>
      <w:r w:rsidRPr="00986DAB">
        <w:rPr>
          <w:rFonts w:ascii="Times New Roman" w:hAnsi="Times New Roman"/>
          <w:color w:val="002060"/>
          <w:sz w:val="24"/>
          <w:szCs w:val="24"/>
          <w:lang w:val="en-GB"/>
        </w:rPr>
        <w:t>n</w:t>
      </w:r>
      <w:r w:rsidR="00935B77">
        <w:rPr>
          <w:rFonts w:ascii="Times New Roman" w:hAnsi="Times New Roman"/>
          <w:color w:val="002060"/>
          <w:sz w:val="24"/>
          <w:szCs w:val="24"/>
          <w:lang w:val="en-GB"/>
        </w:rPr>
        <w:t>i</w:t>
      </w:r>
      <w:r w:rsidRPr="00986DAB">
        <w:rPr>
          <w:rFonts w:ascii="Times New Roman" w:hAnsi="Times New Roman"/>
          <w:color w:val="002060"/>
          <w:sz w:val="24"/>
          <w:szCs w:val="24"/>
          <w:lang w:val="en-GB"/>
        </w:rPr>
        <w:t xml:space="preserve">ts </w:t>
      </w:r>
      <w:r w:rsidR="00434683" w:rsidRPr="00986DAB">
        <w:rPr>
          <w:rFonts w:ascii="Times New Roman" w:hAnsi="Times New Roman"/>
          <w:color w:val="002060"/>
          <w:sz w:val="24"/>
          <w:szCs w:val="24"/>
          <w:lang w:val="en-GB"/>
        </w:rPr>
        <w:t xml:space="preserve">involved in the development and approval of this Policy </w:t>
      </w:r>
      <w:r w:rsidRPr="00986DAB">
        <w:rPr>
          <w:rFonts w:ascii="Times New Roman" w:hAnsi="Times New Roman"/>
          <w:color w:val="002060"/>
          <w:sz w:val="24"/>
          <w:szCs w:val="24"/>
          <w:lang w:val="en-GB"/>
        </w:rPr>
        <w:t>are responsible for its content exclusively within the limits of their competence and functional duties.</w:t>
      </w:r>
    </w:p>
    <w:p w14:paraId="5BB34E04" w14:textId="77777777" w:rsidR="007F3ABB" w:rsidRPr="00986DAB" w:rsidRDefault="009C764B" w:rsidP="00EF57B3">
      <w:pPr>
        <w:pStyle w:val="Heading1"/>
        <w:spacing w:before="120"/>
        <w:ind w:left="567"/>
        <w:rPr>
          <w:rFonts w:ascii="Times New Roman" w:hAnsi="Times New Roman"/>
          <w:b/>
          <w:color w:val="002060"/>
          <w:lang w:val="en-GB"/>
        </w:rPr>
      </w:pPr>
      <w:bookmarkStart w:id="5" w:name="_Toc216278031"/>
      <w:r w:rsidRPr="00986DAB">
        <w:rPr>
          <w:rFonts w:ascii="Times New Roman" w:hAnsi="Times New Roman"/>
          <w:b/>
          <w:color w:val="002060"/>
          <w:lang w:val="en-GB"/>
        </w:rPr>
        <w:lastRenderedPageBreak/>
        <w:t>6. FINAL PROVISIONS</w:t>
      </w:r>
      <w:bookmarkEnd w:id="5"/>
      <w:r w:rsidRPr="00986DAB">
        <w:rPr>
          <w:rFonts w:ascii="Times New Roman" w:hAnsi="Times New Roman"/>
          <w:b/>
          <w:color w:val="002060"/>
          <w:lang w:val="en-GB"/>
        </w:rPr>
        <w:t xml:space="preserve"> </w:t>
      </w:r>
    </w:p>
    <w:p w14:paraId="08C4CB8B" w14:textId="7C2560E6" w:rsidR="007F3ABB" w:rsidRPr="00986DAB" w:rsidRDefault="009C764B">
      <w:pPr>
        <w:spacing w:after="0" w:line="240" w:lineRule="auto"/>
        <w:ind w:firstLine="567"/>
        <w:jc w:val="both"/>
        <w:rPr>
          <w:rFonts w:ascii="Times New Roman" w:eastAsia="Times New Roman" w:hAnsi="Times New Roman" w:cs="Times New Roman"/>
          <w:bCs/>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6</w:t>
      </w:r>
      <w:r w:rsidR="00206DAE" w:rsidRPr="00986DAB">
        <w:rPr>
          <w:rFonts w:ascii="Times New Roman" w:eastAsia="Times New Roman" w:hAnsi="Times New Roman" w:cs="Times New Roman"/>
          <w:bCs/>
          <w:color w:val="002060"/>
          <w:sz w:val="24"/>
          <w:szCs w:val="24"/>
          <w:lang w:val="en-GB" w:eastAsia="el-GR"/>
        </w:rPr>
        <w:t xml:space="preserve">.1. The Policy </w:t>
      </w:r>
      <w:proofErr w:type="gramStart"/>
      <w:r w:rsidRPr="00986DAB">
        <w:rPr>
          <w:rFonts w:ascii="Times New Roman" w:eastAsia="Times New Roman" w:hAnsi="Times New Roman" w:cs="Times New Roman"/>
          <w:bCs/>
          <w:color w:val="002060"/>
          <w:sz w:val="24"/>
          <w:szCs w:val="24"/>
          <w:lang w:val="en-GB" w:eastAsia="el-GR"/>
        </w:rPr>
        <w:t xml:space="preserve">shall be reviewed and updated </w:t>
      </w:r>
      <w:r w:rsidRPr="00986DAB">
        <w:rPr>
          <w:rFonts w:ascii="Times New Roman" w:eastAsia="Times New Roman" w:hAnsi="Times New Roman" w:cs="Times New Roman"/>
          <w:b/>
          <w:bCs/>
          <w:color w:val="002060"/>
          <w:sz w:val="24"/>
          <w:szCs w:val="24"/>
          <w:lang w:val="en-GB" w:eastAsia="el-GR"/>
        </w:rPr>
        <w:t xml:space="preserve">at least </w:t>
      </w:r>
      <w:r w:rsidR="00206DAE" w:rsidRPr="00986DAB">
        <w:rPr>
          <w:rFonts w:ascii="Times New Roman" w:eastAsia="Times New Roman" w:hAnsi="Times New Roman" w:cs="Times New Roman"/>
          <w:b/>
          <w:bCs/>
          <w:color w:val="002060"/>
          <w:sz w:val="24"/>
          <w:szCs w:val="24"/>
          <w:lang w:val="en-GB" w:eastAsia="el-GR"/>
        </w:rPr>
        <w:t>once a year</w:t>
      </w:r>
      <w:r w:rsidR="009514FC">
        <w:rPr>
          <w:rFonts w:ascii="Times New Roman" w:eastAsia="Times New Roman" w:hAnsi="Times New Roman" w:cs="Times New Roman"/>
          <w:b/>
          <w:bCs/>
          <w:color w:val="002060"/>
          <w:sz w:val="24"/>
          <w:szCs w:val="24"/>
          <w:lang w:val="en-GB" w:eastAsia="el-GR"/>
        </w:rPr>
        <w:t xml:space="preserve"> </w:t>
      </w:r>
      <w:r w:rsidR="009514FC" w:rsidRPr="009514FC">
        <w:rPr>
          <w:rFonts w:ascii="Times New Roman" w:eastAsia="Times New Roman" w:hAnsi="Times New Roman" w:cs="Times New Roman"/>
          <w:bCs/>
          <w:color w:val="002060"/>
          <w:sz w:val="24"/>
          <w:szCs w:val="24"/>
          <w:lang w:val="en-GB" w:eastAsia="el-GR"/>
        </w:rPr>
        <w:t xml:space="preserve">according to the Group </w:t>
      </w:r>
      <w:r w:rsidR="00C31F76" w:rsidRPr="009514FC">
        <w:rPr>
          <w:rFonts w:ascii="Times New Roman" w:eastAsia="Times New Roman" w:hAnsi="Times New Roman" w:cs="Times New Roman"/>
          <w:bCs/>
          <w:color w:val="002060"/>
          <w:sz w:val="24"/>
          <w:szCs w:val="24"/>
          <w:lang w:val="en-GB" w:eastAsia="el-GR"/>
        </w:rPr>
        <w:t>requirements</w:t>
      </w:r>
      <w:r w:rsidRPr="00986DAB">
        <w:rPr>
          <w:rFonts w:ascii="Times New Roman" w:eastAsia="Times New Roman" w:hAnsi="Times New Roman" w:cs="Times New Roman"/>
          <w:bCs/>
          <w:color w:val="002060"/>
          <w:sz w:val="24"/>
          <w:szCs w:val="24"/>
          <w:lang w:val="en-GB" w:eastAsia="el-GR"/>
        </w:rPr>
        <w:t>, or more frequently in the event of changes in Ukrainian legislation, NBU regulations, the Bank's organisational structure and/or the Bank's internal administrative and regulatory documents</w:t>
      </w:r>
      <w:proofErr w:type="gramEnd"/>
      <w:r w:rsidRPr="00986DAB">
        <w:rPr>
          <w:rFonts w:ascii="Times New Roman" w:eastAsia="Times New Roman" w:hAnsi="Times New Roman" w:cs="Times New Roman"/>
          <w:bCs/>
          <w:color w:val="002060"/>
          <w:sz w:val="24"/>
          <w:szCs w:val="24"/>
          <w:lang w:val="en-GB" w:eastAsia="el-GR"/>
        </w:rPr>
        <w:t xml:space="preserve">. </w:t>
      </w:r>
    </w:p>
    <w:p w14:paraId="00C1500B" w14:textId="24448449" w:rsidR="007F3ABB" w:rsidRPr="00986DAB" w:rsidRDefault="009C764B">
      <w:pPr>
        <w:spacing w:after="0" w:line="240" w:lineRule="auto"/>
        <w:ind w:firstLine="567"/>
        <w:jc w:val="both"/>
        <w:rPr>
          <w:rFonts w:ascii="Times New Roman" w:eastAsia="Times New Roman" w:hAnsi="Times New Roman" w:cs="Times New Roman"/>
          <w:bCs/>
          <w:i/>
          <w:color w:val="002060"/>
          <w:sz w:val="24"/>
          <w:szCs w:val="24"/>
          <w:lang w:val="en-GB" w:eastAsia="el-GR"/>
        </w:rPr>
      </w:pPr>
      <w:r w:rsidRPr="00986DAB">
        <w:rPr>
          <w:rFonts w:ascii="Times New Roman" w:eastAsia="Times New Roman" w:hAnsi="Times New Roman" w:cs="Times New Roman"/>
          <w:bCs/>
          <w:color w:val="002060"/>
          <w:sz w:val="24"/>
          <w:szCs w:val="24"/>
          <w:lang w:val="en-GB" w:eastAsia="el-GR"/>
        </w:rPr>
        <w:t xml:space="preserve">6.2. </w:t>
      </w:r>
      <w:r w:rsidR="00206DAE" w:rsidRPr="00986DAB">
        <w:rPr>
          <w:rFonts w:ascii="Times New Roman" w:eastAsia="Times New Roman" w:hAnsi="Times New Roman" w:cs="Times New Roman"/>
          <w:bCs/>
          <w:color w:val="002060"/>
          <w:sz w:val="24"/>
          <w:szCs w:val="24"/>
          <w:lang w:val="en-GB" w:eastAsia="el-GR"/>
        </w:rPr>
        <w:t xml:space="preserve">The Risk Management </w:t>
      </w:r>
      <w:r w:rsidR="00935B77">
        <w:rPr>
          <w:rFonts w:ascii="Times New Roman" w:eastAsia="Times New Roman" w:hAnsi="Times New Roman" w:cs="Times New Roman"/>
          <w:bCs/>
          <w:color w:val="002060"/>
          <w:sz w:val="24"/>
          <w:szCs w:val="24"/>
          <w:lang w:val="en-GB" w:eastAsia="el-GR"/>
        </w:rPr>
        <w:t>Division</w:t>
      </w:r>
      <w:r w:rsidRPr="00986DAB">
        <w:rPr>
          <w:rFonts w:ascii="Times New Roman" w:eastAsia="Times New Roman" w:hAnsi="Times New Roman" w:cs="Times New Roman"/>
          <w:bCs/>
          <w:color w:val="002060"/>
          <w:sz w:val="24"/>
          <w:szCs w:val="24"/>
          <w:lang w:val="en-GB" w:eastAsia="el-GR"/>
        </w:rPr>
        <w:t xml:space="preserve"> </w:t>
      </w:r>
      <w:proofErr w:type="gramStart"/>
      <w:r w:rsidRPr="00986DAB">
        <w:rPr>
          <w:rFonts w:ascii="Times New Roman" w:eastAsia="Times New Roman" w:hAnsi="Times New Roman" w:cs="Times New Roman"/>
          <w:bCs/>
          <w:color w:val="002060"/>
          <w:sz w:val="24"/>
          <w:szCs w:val="24"/>
          <w:lang w:val="en-GB" w:eastAsia="el-GR"/>
        </w:rPr>
        <w:t>is  responsible</w:t>
      </w:r>
      <w:proofErr w:type="gramEnd"/>
      <w:r w:rsidRPr="00986DAB">
        <w:rPr>
          <w:rFonts w:ascii="Times New Roman" w:eastAsia="Times New Roman" w:hAnsi="Times New Roman" w:cs="Times New Roman"/>
          <w:bCs/>
          <w:color w:val="002060"/>
          <w:sz w:val="24"/>
          <w:szCs w:val="24"/>
          <w:lang w:val="en-GB" w:eastAsia="el-GR"/>
        </w:rPr>
        <w:t xml:space="preserve"> for </w:t>
      </w:r>
      <w:r w:rsidR="00206DAE" w:rsidRPr="00986DAB">
        <w:rPr>
          <w:rFonts w:ascii="Times New Roman" w:eastAsia="Times New Roman" w:hAnsi="Times New Roman" w:cs="Times New Roman"/>
          <w:bCs/>
          <w:color w:val="002060"/>
          <w:sz w:val="24"/>
          <w:szCs w:val="24"/>
          <w:lang w:val="en-GB" w:eastAsia="el-GR"/>
        </w:rPr>
        <w:t xml:space="preserve">updating and maintaining the Policy </w:t>
      </w:r>
      <w:r w:rsidRPr="00986DAB">
        <w:rPr>
          <w:rFonts w:ascii="Times New Roman" w:eastAsia="Times New Roman" w:hAnsi="Times New Roman" w:cs="Times New Roman"/>
          <w:bCs/>
          <w:color w:val="002060"/>
          <w:sz w:val="24"/>
          <w:szCs w:val="24"/>
          <w:lang w:val="en-GB" w:eastAsia="el-GR"/>
        </w:rPr>
        <w:t>in an up-to-date state</w:t>
      </w:r>
      <w:r w:rsidRPr="00986DAB">
        <w:rPr>
          <w:rFonts w:ascii="Times New Roman" w:eastAsia="Times New Roman" w:hAnsi="Times New Roman" w:cs="Times New Roman"/>
          <w:bCs/>
          <w:i/>
          <w:color w:val="002060"/>
          <w:sz w:val="24"/>
          <w:szCs w:val="24"/>
          <w:lang w:val="en-GB" w:eastAsia="el-GR"/>
        </w:rPr>
        <w:t xml:space="preserve">. </w:t>
      </w:r>
    </w:p>
    <w:p w14:paraId="1328607C" w14:textId="1080E762" w:rsidR="007F3ABB" w:rsidRDefault="009C764B" w:rsidP="00206DAE">
      <w:pPr>
        <w:pStyle w:val="ListParagraph"/>
        <w:tabs>
          <w:tab w:val="left" w:pos="142"/>
          <w:tab w:val="left" w:pos="709"/>
          <w:tab w:val="left" w:pos="851"/>
          <w:tab w:val="left" w:pos="993"/>
        </w:tabs>
        <w:spacing w:after="0" w:line="240" w:lineRule="auto"/>
        <w:ind w:left="0" w:firstLine="567"/>
        <w:jc w:val="both"/>
        <w:rPr>
          <w:rFonts w:ascii="Times New Roman" w:hAnsi="Times New Roman"/>
          <w:bCs/>
          <w:color w:val="002060"/>
          <w:sz w:val="24"/>
          <w:szCs w:val="24"/>
          <w:lang w:val="en-GB"/>
        </w:rPr>
      </w:pPr>
      <w:r w:rsidRPr="00986DAB">
        <w:rPr>
          <w:rFonts w:ascii="Times New Roman" w:hAnsi="Times New Roman"/>
          <w:color w:val="002060"/>
          <w:sz w:val="24"/>
          <w:szCs w:val="24"/>
          <w:lang w:val="en-GB"/>
        </w:rPr>
        <w:t>6.</w:t>
      </w:r>
      <w:r w:rsidR="00206DAE" w:rsidRPr="00986DAB">
        <w:rPr>
          <w:rFonts w:ascii="Times New Roman" w:hAnsi="Times New Roman"/>
          <w:color w:val="002060"/>
          <w:sz w:val="24"/>
          <w:szCs w:val="24"/>
          <w:lang w:val="en-GB"/>
        </w:rPr>
        <w:t xml:space="preserve">3. Amendments and additions to this Policy </w:t>
      </w:r>
      <w:proofErr w:type="gramStart"/>
      <w:r w:rsidRPr="00986DAB">
        <w:rPr>
          <w:rFonts w:ascii="Times New Roman" w:hAnsi="Times New Roman"/>
          <w:color w:val="002060"/>
          <w:sz w:val="24"/>
          <w:szCs w:val="24"/>
          <w:lang w:val="en-GB"/>
        </w:rPr>
        <w:t>shall be approved</w:t>
      </w:r>
      <w:proofErr w:type="gramEnd"/>
      <w:r w:rsidRPr="00986DAB">
        <w:rPr>
          <w:rFonts w:ascii="Times New Roman" w:hAnsi="Times New Roman"/>
          <w:color w:val="002060"/>
          <w:sz w:val="24"/>
          <w:szCs w:val="24"/>
          <w:lang w:val="en-GB"/>
        </w:rPr>
        <w:t xml:space="preserve"> by a decision </w:t>
      </w:r>
      <w:r w:rsidR="00206DAE" w:rsidRPr="00986DAB">
        <w:rPr>
          <w:rFonts w:ascii="Times New Roman" w:hAnsi="Times New Roman"/>
          <w:color w:val="002060"/>
          <w:sz w:val="24"/>
          <w:szCs w:val="24"/>
          <w:lang w:val="en-GB"/>
        </w:rPr>
        <w:t xml:space="preserve">of the Supervisory Board </w:t>
      </w:r>
      <w:r w:rsidRPr="00986DAB">
        <w:rPr>
          <w:rFonts w:ascii="Times New Roman" w:hAnsi="Times New Roman"/>
          <w:color w:val="002060"/>
          <w:sz w:val="24"/>
          <w:szCs w:val="24"/>
          <w:lang w:val="en-GB"/>
        </w:rPr>
        <w:t xml:space="preserve">and shall be formalised by publishing a new version. Approval of a new version </w:t>
      </w:r>
      <w:r w:rsidR="00206DAE" w:rsidRPr="00986DAB">
        <w:rPr>
          <w:rFonts w:ascii="Times New Roman" w:hAnsi="Times New Roman"/>
          <w:color w:val="002060"/>
          <w:sz w:val="24"/>
          <w:szCs w:val="24"/>
          <w:lang w:val="en-GB"/>
        </w:rPr>
        <w:t xml:space="preserve">of the Policy </w:t>
      </w:r>
      <w:r w:rsidRPr="00986DAB">
        <w:rPr>
          <w:rFonts w:ascii="Times New Roman" w:hAnsi="Times New Roman"/>
          <w:color w:val="002060"/>
          <w:sz w:val="24"/>
          <w:szCs w:val="24"/>
          <w:lang w:val="en-GB"/>
        </w:rPr>
        <w:t xml:space="preserve">shall automatically result in the termination of </w:t>
      </w:r>
      <w:r w:rsidR="00206DAE" w:rsidRPr="00986DAB">
        <w:rPr>
          <w:rFonts w:ascii="Times New Roman" w:hAnsi="Times New Roman"/>
          <w:color w:val="002060"/>
          <w:sz w:val="24"/>
          <w:szCs w:val="24"/>
          <w:lang w:val="en-GB"/>
        </w:rPr>
        <w:t xml:space="preserve">the previous version. The updated Policy </w:t>
      </w:r>
      <w:proofErr w:type="gramStart"/>
      <w:r w:rsidRPr="00986DAB">
        <w:rPr>
          <w:rFonts w:ascii="Times New Roman" w:hAnsi="Times New Roman"/>
          <w:color w:val="002060"/>
          <w:sz w:val="24"/>
          <w:szCs w:val="24"/>
          <w:lang w:val="en-GB"/>
        </w:rPr>
        <w:t>shall be posted</w:t>
      </w:r>
      <w:proofErr w:type="gramEnd"/>
      <w:r w:rsidRPr="00986DAB">
        <w:rPr>
          <w:rFonts w:ascii="Times New Roman" w:hAnsi="Times New Roman"/>
          <w:color w:val="002060"/>
          <w:sz w:val="24"/>
          <w:szCs w:val="24"/>
          <w:lang w:val="en-GB"/>
        </w:rPr>
        <w:t xml:space="preserve"> on </w:t>
      </w:r>
      <w:r w:rsidRPr="00986DAB">
        <w:rPr>
          <w:rFonts w:ascii="Times New Roman" w:hAnsi="Times New Roman"/>
          <w:bCs/>
          <w:color w:val="002060"/>
          <w:sz w:val="24"/>
          <w:szCs w:val="24"/>
          <w:lang w:val="en-GB"/>
        </w:rPr>
        <w:t xml:space="preserve">the Bank's web portal. </w:t>
      </w:r>
    </w:p>
    <w:p w14:paraId="3C394C34" w14:textId="3E0C6FCE" w:rsidR="00CB3886" w:rsidRPr="00986DAB" w:rsidRDefault="00CB3886" w:rsidP="00206DAE">
      <w:pPr>
        <w:pStyle w:val="ListParagraph"/>
        <w:tabs>
          <w:tab w:val="left" w:pos="142"/>
          <w:tab w:val="left" w:pos="709"/>
          <w:tab w:val="left" w:pos="851"/>
          <w:tab w:val="left" w:pos="993"/>
        </w:tabs>
        <w:spacing w:after="0" w:line="240" w:lineRule="auto"/>
        <w:ind w:left="0" w:firstLine="567"/>
        <w:jc w:val="both"/>
        <w:rPr>
          <w:rFonts w:ascii="Times New Roman" w:hAnsi="Times New Roman"/>
          <w:b/>
          <w:bCs/>
          <w:color w:val="002060"/>
          <w:sz w:val="24"/>
          <w:szCs w:val="24"/>
          <w:lang w:val="en-GB"/>
        </w:rPr>
      </w:pPr>
      <w:r>
        <w:rPr>
          <w:rFonts w:ascii="Times New Roman" w:hAnsi="Times New Roman"/>
          <w:bCs/>
          <w:color w:val="002060"/>
          <w:sz w:val="24"/>
          <w:szCs w:val="24"/>
          <w:lang w:val="en-GB"/>
        </w:rPr>
        <w:t xml:space="preserve">6.4. </w:t>
      </w:r>
      <w:r w:rsidRPr="00CB3886">
        <w:rPr>
          <w:rFonts w:ascii="Times New Roman" w:hAnsi="Times New Roman"/>
          <w:bCs/>
          <w:color w:val="002060"/>
          <w:sz w:val="24"/>
          <w:szCs w:val="24"/>
          <w:lang w:val="en-GB"/>
        </w:rPr>
        <w:t>As of the effective date of this version of the Policy, Environmental, Social and Governance Risk</w:t>
      </w:r>
      <w:r w:rsidR="00E43489">
        <w:rPr>
          <w:rFonts w:ascii="Times New Roman" w:hAnsi="Times New Roman"/>
          <w:bCs/>
          <w:color w:val="002060"/>
          <w:sz w:val="24"/>
          <w:szCs w:val="24"/>
          <w:lang w:val="en-GB"/>
        </w:rPr>
        <w:t>s</w:t>
      </w:r>
      <w:r w:rsidRPr="00CB3886">
        <w:rPr>
          <w:rFonts w:ascii="Times New Roman" w:hAnsi="Times New Roman"/>
          <w:bCs/>
          <w:color w:val="002060"/>
          <w:sz w:val="24"/>
          <w:szCs w:val="24"/>
          <w:lang w:val="en-GB"/>
        </w:rPr>
        <w:t xml:space="preserve"> Management </w:t>
      </w:r>
      <w:r w:rsidR="00E43489">
        <w:rPr>
          <w:rFonts w:ascii="Times New Roman" w:hAnsi="Times New Roman"/>
          <w:bCs/>
          <w:color w:val="002060"/>
          <w:sz w:val="24"/>
          <w:szCs w:val="24"/>
          <w:lang w:val="en-GB"/>
        </w:rPr>
        <w:t xml:space="preserve">Policy </w:t>
      </w:r>
      <w:r w:rsidRPr="00CB3886">
        <w:rPr>
          <w:rFonts w:ascii="Times New Roman" w:hAnsi="Times New Roman"/>
          <w:bCs/>
          <w:color w:val="002060"/>
          <w:sz w:val="24"/>
          <w:szCs w:val="24"/>
          <w:lang w:val="en-GB"/>
        </w:rPr>
        <w:t xml:space="preserve">at JSC </w:t>
      </w:r>
      <w:r w:rsidR="00AA00F2" w:rsidRPr="00AA00F2">
        <w:rPr>
          <w:rFonts w:ascii="Times New Roman" w:hAnsi="Times New Roman"/>
          <w:bCs/>
          <w:color w:val="002060"/>
          <w:sz w:val="24"/>
          <w:szCs w:val="24"/>
          <w:lang w:val="en-GB"/>
        </w:rPr>
        <w:t>"PIRAEUS BANK ICB"</w:t>
      </w:r>
      <w:r w:rsidR="00E43489">
        <w:rPr>
          <w:rFonts w:ascii="Times New Roman" w:hAnsi="Times New Roman"/>
          <w:bCs/>
          <w:color w:val="002060"/>
          <w:sz w:val="24"/>
          <w:szCs w:val="24"/>
          <w:lang w:val="en-GB"/>
        </w:rPr>
        <w:t xml:space="preserve"> dated 25.09.</w:t>
      </w:r>
      <w:r w:rsidRPr="00CB3886">
        <w:rPr>
          <w:rFonts w:ascii="Times New Roman" w:hAnsi="Times New Roman"/>
          <w:bCs/>
          <w:color w:val="002060"/>
          <w:sz w:val="24"/>
          <w:szCs w:val="24"/>
          <w:lang w:val="en-GB"/>
        </w:rPr>
        <w:t xml:space="preserve">2024 </w:t>
      </w:r>
      <w:proofErr w:type="gramStart"/>
      <w:r w:rsidRPr="00CB3886">
        <w:rPr>
          <w:rFonts w:ascii="Times New Roman" w:hAnsi="Times New Roman"/>
          <w:bCs/>
          <w:color w:val="002060"/>
          <w:sz w:val="24"/>
          <w:szCs w:val="24"/>
          <w:lang w:val="en-GB"/>
        </w:rPr>
        <w:t>shall be deemed</w:t>
      </w:r>
      <w:proofErr w:type="gramEnd"/>
      <w:r w:rsidRPr="00CB3886">
        <w:rPr>
          <w:rFonts w:ascii="Times New Roman" w:hAnsi="Times New Roman"/>
          <w:bCs/>
          <w:color w:val="002060"/>
          <w:sz w:val="24"/>
          <w:szCs w:val="24"/>
          <w:lang w:val="en-GB"/>
        </w:rPr>
        <w:t xml:space="preserve"> null and void.</w:t>
      </w:r>
    </w:p>
    <w:p w14:paraId="0F0A2827" w14:textId="77777777" w:rsidR="007F3ABB" w:rsidRPr="00986DAB" w:rsidRDefault="009C764B" w:rsidP="00F30C13">
      <w:pPr>
        <w:pStyle w:val="Heading1"/>
        <w:spacing w:before="120"/>
        <w:ind w:left="567"/>
        <w:rPr>
          <w:rFonts w:ascii="Times New Roman" w:hAnsi="Times New Roman"/>
          <w:b/>
          <w:color w:val="002060"/>
          <w:lang w:val="en-GB"/>
        </w:rPr>
      </w:pPr>
      <w:bookmarkStart w:id="6" w:name="_Toc216278032"/>
      <w:r w:rsidRPr="00986DAB">
        <w:rPr>
          <w:rFonts w:ascii="Times New Roman" w:hAnsi="Times New Roman"/>
          <w:b/>
          <w:color w:val="002060"/>
          <w:lang w:val="en-GB"/>
        </w:rPr>
        <w:t>7. LIST OF RELATED DOCUMENTS</w:t>
      </w:r>
      <w:bookmarkEnd w:id="6"/>
      <w:r w:rsidRPr="00986DAB">
        <w:rPr>
          <w:rFonts w:ascii="Times New Roman" w:hAnsi="Times New Roman"/>
          <w:b/>
          <w:color w:val="002060"/>
          <w:lang w:val="en-GB"/>
        </w:rPr>
        <w:t xml:space="preserve"> </w:t>
      </w:r>
    </w:p>
    <w:p w14:paraId="05222F82" w14:textId="766202C5" w:rsidR="00D5541F" w:rsidRPr="00910909" w:rsidRDefault="00956B72" w:rsidP="00AA00F2">
      <w:pPr>
        <w:pStyle w:val="ListParagraph"/>
        <w:numPr>
          <w:ilvl w:val="0"/>
          <w:numId w:val="28"/>
        </w:numPr>
        <w:pBdr>
          <w:top w:val="none" w:sz="4" w:space="0" w:color="000000"/>
          <w:left w:val="none" w:sz="4" w:space="0" w:color="000000"/>
          <w:bottom w:val="none" w:sz="4" w:space="0" w:color="000000"/>
          <w:right w:val="none" w:sz="4" w:space="0" w:color="000000"/>
          <w:between w:val="none" w:sz="4" w:space="0" w:color="000000"/>
        </w:pBdr>
        <w:spacing w:before="120" w:line="240" w:lineRule="auto"/>
        <w:jc w:val="both"/>
        <w:rPr>
          <w:rFonts w:ascii="Times New Roman" w:eastAsia="Times New Roman" w:hAnsi="Times New Roman" w:cs="Times New Roman"/>
          <w:bCs/>
          <w:color w:val="002060"/>
          <w:sz w:val="24"/>
          <w:szCs w:val="24"/>
          <w:lang w:val="en-GB" w:eastAsia="el-GR"/>
        </w:rPr>
      </w:pPr>
      <w:r w:rsidRPr="00910909">
        <w:rPr>
          <w:rFonts w:ascii="Times New Roman" w:eastAsia="Times New Roman" w:hAnsi="Times New Roman" w:cs="Times New Roman"/>
          <w:bCs/>
          <w:color w:val="002060"/>
          <w:sz w:val="24"/>
          <w:szCs w:val="24"/>
          <w:lang w:val="en-GB" w:eastAsia="el-GR"/>
        </w:rPr>
        <w:t xml:space="preserve">Risk and Capital Management Strategy of </w:t>
      </w:r>
      <w:r w:rsidR="00D5541F" w:rsidRPr="00910909">
        <w:rPr>
          <w:rFonts w:ascii="Times New Roman" w:eastAsia="Times New Roman" w:hAnsi="Times New Roman" w:cs="Times New Roman"/>
          <w:bCs/>
          <w:color w:val="002060"/>
          <w:sz w:val="24"/>
          <w:szCs w:val="24"/>
          <w:lang w:val="en-GB" w:eastAsia="el-GR"/>
        </w:rPr>
        <w:t xml:space="preserve">JSC </w:t>
      </w:r>
      <w:r w:rsidR="00AA00F2" w:rsidRPr="00910909">
        <w:rPr>
          <w:rFonts w:ascii="Times New Roman" w:eastAsia="Times New Roman" w:hAnsi="Times New Roman" w:cs="Times New Roman"/>
          <w:bCs/>
          <w:color w:val="002060"/>
          <w:sz w:val="24"/>
          <w:szCs w:val="24"/>
          <w:lang w:val="en-GB" w:eastAsia="el-GR"/>
        </w:rPr>
        <w:t>"PIRAEUS BANK ICB"</w:t>
      </w:r>
      <w:r w:rsidR="00E43489" w:rsidRPr="00910909">
        <w:rPr>
          <w:rFonts w:ascii="Times New Roman" w:eastAsia="Times New Roman" w:hAnsi="Times New Roman" w:cs="Times New Roman"/>
          <w:bCs/>
          <w:color w:val="002060"/>
          <w:sz w:val="24"/>
          <w:szCs w:val="24"/>
          <w:lang w:val="en-GB" w:eastAsia="el-GR"/>
        </w:rPr>
        <w:t>.</w:t>
      </w:r>
    </w:p>
    <w:p w14:paraId="24B2AB05" w14:textId="2E488DE7" w:rsidR="00D5541F" w:rsidRPr="00910909" w:rsidRDefault="00956B72" w:rsidP="00AA00F2">
      <w:pPr>
        <w:pStyle w:val="ListParagraph"/>
        <w:numPr>
          <w:ilvl w:val="0"/>
          <w:numId w:val="28"/>
        </w:numPr>
        <w:pBdr>
          <w:top w:val="none" w:sz="4" w:space="0" w:color="000000"/>
          <w:left w:val="none" w:sz="4" w:space="0" w:color="000000"/>
          <w:bottom w:val="none" w:sz="4" w:space="0" w:color="000000"/>
          <w:right w:val="none" w:sz="4" w:space="0" w:color="000000"/>
          <w:between w:val="none" w:sz="4" w:space="0" w:color="000000"/>
        </w:pBdr>
        <w:spacing w:before="120" w:line="240" w:lineRule="auto"/>
        <w:jc w:val="both"/>
        <w:rPr>
          <w:rFonts w:ascii="Times New Roman" w:eastAsia="Times New Roman" w:hAnsi="Times New Roman" w:cs="Times New Roman"/>
          <w:bCs/>
          <w:color w:val="002060"/>
          <w:sz w:val="24"/>
          <w:szCs w:val="24"/>
          <w:lang w:val="en-GB" w:eastAsia="el-GR"/>
        </w:rPr>
      </w:pPr>
      <w:r w:rsidRPr="00910909">
        <w:rPr>
          <w:rFonts w:ascii="Times New Roman" w:eastAsia="Times New Roman" w:hAnsi="Times New Roman" w:cs="Times New Roman"/>
          <w:bCs/>
          <w:color w:val="002060"/>
          <w:sz w:val="24"/>
          <w:szCs w:val="24"/>
          <w:lang w:val="en-GB" w:eastAsia="el-GR"/>
        </w:rPr>
        <w:t xml:space="preserve">Risk Management Policy of </w:t>
      </w:r>
      <w:r w:rsidR="00D5541F" w:rsidRPr="00910909">
        <w:rPr>
          <w:rFonts w:ascii="Times New Roman" w:eastAsia="Times New Roman" w:hAnsi="Times New Roman" w:cs="Times New Roman"/>
          <w:bCs/>
          <w:color w:val="002060"/>
          <w:sz w:val="24"/>
          <w:szCs w:val="24"/>
          <w:lang w:val="en-GB" w:eastAsia="el-GR"/>
        </w:rPr>
        <w:t xml:space="preserve">JSC </w:t>
      </w:r>
      <w:r w:rsidR="00AA00F2" w:rsidRPr="00910909">
        <w:rPr>
          <w:rFonts w:ascii="Times New Roman" w:eastAsia="Times New Roman" w:hAnsi="Times New Roman" w:cs="Times New Roman"/>
          <w:bCs/>
          <w:color w:val="002060"/>
          <w:sz w:val="24"/>
          <w:szCs w:val="24"/>
          <w:lang w:val="en-GB" w:eastAsia="el-GR"/>
        </w:rPr>
        <w:t>"PIRAEUS BANK ICB"</w:t>
      </w:r>
      <w:r w:rsidR="00E43489" w:rsidRPr="00910909">
        <w:rPr>
          <w:rFonts w:ascii="Times New Roman" w:eastAsia="Times New Roman" w:hAnsi="Times New Roman" w:cs="Times New Roman"/>
          <w:bCs/>
          <w:color w:val="002060"/>
          <w:sz w:val="24"/>
          <w:szCs w:val="24"/>
          <w:lang w:val="en-GB" w:eastAsia="el-GR"/>
        </w:rPr>
        <w:t>.</w:t>
      </w:r>
    </w:p>
    <w:p w14:paraId="7ACB3069" w14:textId="04E5D18A" w:rsidR="00956B72" w:rsidRPr="00910909" w:rsidRDefault="00956B72" w:rsidP="00AA00F2">
      <w:pPr>
        <w:pStyle w:val="ListParagraph"/>
        <w:numPr>
          <w:ilvl w:val="0"/>
          <w:numId w:val="28"/>
        </w:numPr>
        <w:pBdr>
          <w:top w:val="none" w:sz="4" w:space="0" w:color="000000"/>
          <w:left w:val="none" w:sz="4" w:space="0" w:color="000000"/>
          <w:bottom w:val="none" w:sz="4" w:space="0" w:color="000000"/>
          <w:right w:val="none" w:sz="4" w:space="0" w:color="000000"/>
          <w:between w:val="none" w:sz="4" w:space="0" w:color="000000"/>
        </w:pBdr>
        <w:spacing w:before="120" w:line="240" w:lineRule="auto"/>
        <w:jc w:val="both"/>
        <w:rPr>
          <w:rFonts w:ascii="Times New Roman" w:eastAsia="Times New Roman" w:hAnsi="Times New Roman" w:cs="Times New Roman"/>
          <w:bCs/>
          <w:color w:val="002060"/>
          <w:sz w:val="24"/>
          <w:szCs w:val="24"/>
          <w:lang w:val="en-GB" w:eastAsia="el-GR"/>
        </w:rPr>
      </w:pPr>
      <w:r w:rsidRPr="00910909">
        <w:rPr>
          <w:rFonts w:ascii="Times New Roman" w:eastAsia="Times New Roman" w:hAnsi="Times New Roman" w:cs="Times New Roman"/>
          <w:bCs/>
          <w:color w:val="002060"/>
          <w:sz w:val="24"/>
          <w:szCs w:val="24"/>
          <w:lang w:val="en-GB" w:eastAsia="el-GR"/>
        </w:rPr>
        <w:t xml:space="preserve">Credit Policy for SME and Corporate Business Clients </w:t>
      </w:r>
      <w:r w:rsidR="00E43489" w:rsidRPr="00910909">
        <w:rPr>
          <w:rFonts w:ascii="Times New Roman" w:eastAsia="Times New Roman" w:hAnsi="Times New Roman" w:cs="Times New Roman"/>
          <w:bCs/>
          <w:color w:val="002060"/>
          <w:sz w:val="24"/>
          <w:szCs w:val="24"/>
          <w:lang w:val="en-GB" w:eastAsia="el-GR"/>
        </w:rPr>
        <w:t xml:space="preserve">of </w:t>
      </w:r>
      <w:r w:rsidR="00D5541F" w:rsidRPr="00910909">
        <w:rPr>
          <w:rFonts w:ascii="Times New Roman" w:eastAsia="Times New Roman" w:hAnsi="Times New Roman" w:cs="Times New Roman"/>
          <w:bCs/>
          <w:color w:val="002060"/>
          <w:sz w:val="24"/>
          <w:szCs w:val="24"/>
          <w:lang w:val="en-GB" w:eastAsia="el-GR"/>
        </w:rPr>
        <w:t xml:space="preserve">JSC </w:t>
      </w:r>
      <w:r w:rsidR="00AA00F2" w:rsidRPr="00910909">
        <w:rPr>
          <w:rFonts w:ascii="Times New Roman" w:eastAsia="Times New Roman" w:hAnsi="Times New Roman" w:cs="Times New Roman"/>
          <w:bCs/>
          <w:color w:val="002060"/>
          <w:sz w:val="24"/>
          <w:szCs w:val="24"/>
          <w:lang w:val="en-GB" w:eastAsia="el-GR"/>
        </w:rPr>
        <w:t>"PIRAEUS BANK ICB"</w:t>
      </w:r>
      <w:r w:rsidR="00E43489" w:rsidRPr="00910909">
        <w:rPr>
          <w:rFonts w:ascii="Times New Roman" w:eastAsia="Times New Roman" w:hAnsi="Times New Roman" w:cs="Times New Roman"/>
          <w:bCs/>
          <w:color w:val="002060"/>
          <w:sz w:val="24"/>
          <w:szCs w:val="24"/>
          <w:lang w:val="en-GB" w:eastAsia="el-GR"/>
        </w:rPr>
        <w:t xml:space="preserve"> </w:t>
      </w:r>
      <w:r w:rsidRPr="00910909">
        <w:rPr>
          <w:rFonts w:ascii="Times New Roman" w:eastAsia="Times New Roman" w:hAnsi="Times New Roman" w:cs="Times New Roman"/>
          <w:bCs/>
          <w:color w:val="002060"/>
          <w:sz w:val="24"/>
          <w:szCs w:val="24"/>
          <w:lang w:val="en-GB" w:eastAsia="el-GR"/>
        </w:rPr>
        <w:t>for the Relevant Year</w:t>
      </w:r>
      <w:r w:rsidR="00E43489" w:rsidRPr="00910909">
        <w:rPr>
          <w:rFonts w:ascii="Times New Roman" w:eastAsia="Times New Roman" w:hAnsi="Times New Roman" w:cs="Times New Roman"/>
          <w:bCs/>
          <w:color w:val="002060"/>
          <w:sz w:val="24"/>
          <w:szCs w:val="24"/>
          <w:lang w:val="en-GB" w:eastAsia="el-GR"/>
        </w:rPr>
        <w:t>.</w:t>
      </w:r>
      <w:r w:rsidRPr="00910909">
        <w:rPr>
          <w:rFonts w:ascii="Times New Roman" w:eastAsia="Times New Roman" w:hAnsi="Times New Roman" w:cs="Times New Roman"/>
          <w:bCs/>
          <w:color w:val="002060"/>
          <w:sz w:val="24"/>
          <w:szCs w:val="24"/>
          <w:lang w:val="en-GB" w:eastAsia="el-GR"/>
        </w:rPr>
        <w:t xml:space="preserve"> </w:t>
      </w:r>
    </w:p>
    <w:p w14:paraId="600D259A" w14:textId="17142965" w:rsidR="00956B72" w:rsidRPr="00910909" w:rsidRDefault="00956B72" w:rsidP="00AA00F2">
      <w:pPr>
        <w:pStyle w:val="ListParagraph"/>
        <w:numPr>
          <w:ilvl w:val="0"/>
          <w:numId w:val="28"/>
        </w:numPr>
        <w:pBdr>
          <w:top w:val="none" w:sz="4" w:space="0" w:color="000000"/>
          <w:left w:val="none" w:sz="4" w:space="0" w:color="000000"/>
          <w:bottom w:val="none" w:sz="4" w:space="0" w:color="000000"/>
          <w:right w:val="none" w:sz="4" w:space="0" w:color="000000"/>
          <w:between w:val="none" w:sz="4" w:space="0" w:color="000000"/>
        </w:pBdr>
        <w:spacing w:before="120" w:line="240" w:lineRule="auto"/>
        <w:jc w:val="both"/>
        <w:rPr>
          <w:rFonts w:ascii="Times New Roman" w:eastAsia="Times New Roman" w:hAnsi="Times New Roman" w:cs="Times New Roman"/>
          <w:bCs/>
          <w:color w:val="002060"/>
          <w:sz w:val="24"/>
          <w:szCs w:val="24"/>
          <w:lang w:val="en-GB" w:eastAsia="el-GR"/>
        </w:rPr>
      </w:pPr>
      <w:r w:rsidRPr="00910909">
        <w:rPr>
          <w:rFonts w:ascii="Times New Roman" w:eastAsia="Times New Roman" w:hAnsi="Times New Roman" w:cs="Times New Roman"/>
          <w:bCs/>
          <w:color w:val="002060"/>
          <w:sz w:val="24"/>
          <w:szCs w:val="24"/>
          <w:lang w:val="en-GB" w:eastAsia="el-GR"/>
        </w:rPr>
        <w:t>Procedure</w:t>
      </w:r>
      <w:r w:rsidR="00AA00F2" w:rsidRPr="00910909">
        <w:rPr>
          <w:rFonts w:ascii="Times New Roman" w:eastAsia="Times New Roman" w:hAnsi="Times New Roman" w:cs="Times New Roman"/>
          <w:bCs/>
          <w:color w:val="002060"/>
          <w:sz w:val="24"/>
          <w:szCs w:val="24"/>
          <w:lang w:val="en-GB" w:eastAsia="el-GR"/>
        </w:rPr>
        <w:t xml:space="preserve"> for granting loans to SME and C</w:t>
      </w:r>
      <w:r w:rsidRPr="00910909">
        <w:rPr>
          <w:rFonts w:ascii="Times New Roman" w:eastAsia="Times New Roman" w:hAnsi="Times New Roman" w:cs="Times New Roman"/>
          <w:bCs/>
          <w:color w:val="002060"/>
          <w:sz w:val="24"/>
          <w:szCs w:val="24"/>
          <w:lang w:val="en-GB" w:eastAsia="el-GR"/>
        </w:rPr>
        <w:t>orporate business clients</w:t>
      </w:r>
      <w:r w:rsidR="00D5541F" w:rsidRPr="00910909">
        <w:rPr>
          <w:rFonts w:ascii="Times New Roman" w:eastAsia="Times New Roman" w:hAnsi="Times New Roman" w:cs="Times New Roman"/>
          <w:bCs/>
          <w:color w:val="002060"/>
          <w:sz w:val="24"/>
          <w:szCs w:val="24"/>
          <w:lang w:val="en-GB" w:eastAsia="el-GR"/>
        </w:rPr>
        <w:t xml:space="preserve"> JSC </w:t>
      </w:r>
      <w:r w:rsidR="00AA00F2" w:rsidRPr="00910909">
        <w:rPr>
          <w:rFonts w:ascii="Times New Roman" w:eastAsia="Times New Roman" w:hAnsi="Times New Roman" w:cs="Times New Roman"/>
          <w:bCs/>
          <w:color w:val="002060"/>
          <w:sz w:val="24"/>
          <w:szCs w:val="24"/>
          <w:lang w:val="en-GB" w:eastAsia="el-GR"/>
        </w:rPr>
        <w:t>"PIRAEUS BANK ICB"</w:t>
      </w:r>
      <w:r w:rsidR="00D5541F" w:rsidRPr="00910909">
        <w:rPr>
          <w:rFonts w:ascii="Times New Roman" w:eastAsia="Times New Roman" w:hAnsi="Times New Roman" w:cs="Times New Roman"/>
          <w:bCs/>
          <w:color w:val="002060"/>
          <w:sz w:val="24"/>
          <w:szCs w:val="24"/>
          <w:lang w:val="en-GB" w:eastAsia="el-GR"/>
        </w:rPr>
        <w:t>.</w:t>
      </w:r>
    </w:p>
    <w:p w14:paraId="73686FB7" w14:textId="45283043" w:rsidR="00093219" w:rsidRPr="00910909" w:rsidRDefault="00093219" w:rsidP="0059584C">
      <w:pPr>
        <w:pStyle w:val="ListParagraph"/>
        <w:numPr>
          <w:ilvl w:val="0"/>
          <w:numId w:val="28"/>
        </w:numPr>
        <w:pBdr>
          <w:top w:val="none" w:sz="4" w:space="0" w:color="000000"/>
          <w:left w:val="none" w:sz="4" w:space="0" w:color="000000"/>
          <w:bottom w:val="none" w:sz="4" w:space="0" w:color="000000"/>
          <w:right w:val="none" w:sz="4" w:space="0" w:color="000000"/>
          <w:between w:val="none" w:sz="4" w:space="0" w:color="000000"/>
        </w:pBdr>
        <w:spacing w:before="120" w:line="240" w:lineRule="auto"/>
        <w:ind w:left="709"/>
        <w:jc w:val="both"/>
        <w:rPr>
          <w:rFonts w:ascii="Times New Roman" w:eastAsia="Times New Roman" w:hAnsi="Times New Roman" w:cs="Times New Roman"/>
          <w:bCs/>
          <w:color w:val="002060"/>
          <w:sz w:val="24"/>
          <w:szCs w:val="24"/>
          <w:lang w:val="en-GB" w:eastAsia="el-GR"/>
        </w:rPr>
      </w:pPr>
      <w:r w:rsidRPr="00910909">
        <w:rPr>
          <w:rFonts w:ascii="Times New Roman" w:eastAsia="Times New Roman" w:hAnsi="Times New Roman" w:cs="Times New Roman"/>
          <w:bCs/>
          <w:color w:val="002060"/>
          <w:sz w:val="24"/>
          <w:szCs w:val="24"/>
          <w:lang w:val="en-GB" w:eastAsia="el-GR"/>
        </w:rPr>
        <w:t>Procedure for granting and servicing loans under the state financial support programme for businesses "Affordable loans 5-7-9%"</w:t>
      </w:r>
      <w:r w:rsidR="00D5541F" w:rsidRPr="00910909">
        <w:rPr>
          <w:rFonts w:ascii="Times New Roman" w:eastAsia="Times New Roman" w:hAnsi="Times New Roman" w:cs="Times New Roman"/>
          <w:bCs/>
          <w:color w:val="002060"/>
          <w:sz w:val="24"/>
          <w:szCs w:val="24"/>
          <w:lang w:val="en-GB" w:eastAsia="el-GR"/>
        </w:rPr>
        <w:t>.</w:t>
      </w:r>
    </w:p>
    <w:p w14:paraId="0892B978" w14:textId="32F96722" w:rsidR="007F3ABB" w:rsidRPr="00910909" w:rsidRDefault="00093219" w:rsidP="00AA00F2">
      <w:pPr>
        <w:pStyle w:val="ListParagraph"/>
        <w:numPr>
          <w:ilvl w:val="0"/>
          <w:numId w:val="28"/>
        </w:numPr>
        <w:pBdr>
          <w:top w:val="none" w:sz="4" w:space="0" w:color="000000"/>
          <w:left w:val="none" w:sz="4" w:space="0" w:color="000000"/>
          <w:bottom w:val="none" w:sz="4" w:space="0" w:color="000000"/>
          <w:right w:val="none" w:sz="4" w:space="0" w:color="000000"/>
          <w:between w:val="none" w:sz="4" w:space="0" w:color="000000"/>
        </w:pBdr>
        <w:spacing w:before="120" w:line="240" w:lineRule="auto"/>
        <w:jc w:val="both"/>
        <w:rPr>
          <w:rFonts w:ascii="Times New Roman" w:eastAsia="Times New Roman" w:hAnsi="Times New Roman" w:cs="Times New Roman"/>
          <w:bCs/>
          <w:color w:val="002060"/>
          <w:sz w:val="24"/>
          <w:szCs w:val="24"/>
          <w:lang w:val="en-GB" w:eastAsia="el-GR"/>
        </w:rPr>
      </w:pPr>
      <w:r w:rsidRPr="00910909">
        <w:rPr>
          <w:rFonts w:ascii="Times New Roman" w:eastAsia="Times New Roman" w:hAnsi="Times New Roman" w:cs="Times New Roman"/>
          <w:bCs/>
          <w:color w:val="002060"/>
          <w:sz w:val="24"/>
          <w:szCs w:val="24"/>
          <w:lang w:val="en-GB" w:eastAsia="el-GR"/>
        </w:rPr>
        <w:t xml:space="preserve">Procedure for lending to business clients under the Portfolio Guarantee Agreement concluded between </w:t>
      </w:r>
      <w:r w:rsidR="00D5541F" w:rsidRPr="00910909">
        <w:rPr>
          <w:rFonts w:ascii="Times New Roman" w:eastAsia="Times New Roman" w:hAnsi="Times New Roman" w:cs="Times New Roman"/>
          <w:bCs/>
          <w:color w:val="002060"/>
          <w:sz w:val="24"/>
          <w:szCs w:val="24"/>
          <w:lang w:val="en-GB" w:eastAsia="el-GR"/>
        </w:rPr>
        <w:t xml:space="preserve">JSC </w:t>
      </w:r>
      <w:r w:rsidR="00AA00F2" w:rsidRPr="00910909">
        <w:rPr>
          <w:rFonts w:ascii="Times New Roman" w:eastAsia="Times New Roman" w:hAnsi="Times New Roman" w:cs="Times New Roman"/>
          <w:bCs/>
          <w:color w:val="002060"/>
          <w:sz w:val="24"/>
          <w:szCs w:val="24"/>
          <w:lang w:val="en-GB" w:eastAsia="el-GR"/>
        </w:rPr>
        <w:t>"PIRAEUS BANK ICB"</w:t>
      </w:r>
      <w:r w:rsidRPr="00910909">
        <w:rPr>
          <w:rFonts w:ascii="Times New Roman" w:eastAsia="Times New Roman" w:hAnsi="Times New Roman" w:cs="Times New Roman"/>
          <w:bCs/>
          <w:color w:val="002060"/>
          <w:sz w:val="24"/>
          <w:szCs w:val="24"/>
          <w:lang w:val="en-GB" w:eastAsia="el-GR"/>
        </w:rPr>
        <w:t xml:space="preserve"> and the International Finance Corporation of the United States</w:t>
      </w:r>
      <w:r w:rsidR="00D5541F" w:rsidRPr="00910909">
        <w:rPr>
          <w:rFonts w:ascii="Times New Roman" w:eastAsia="Times New Roman" w:hAnsi="Times New Roman" w:cs="Times New Roman"/>
          <w:bCs/>
          <w:color w:val="002060"/>
          <w:sz w:val="24"/>
          <w:szCs w:val="24"/>
          <w:lang w:val="en-GB" w:eastAsia="el-GR"/>
        </w:rPr>
        <w:t>.</w:t>
      </w:r>
    </w:p>
    <w:p w14:paraId="7FE1D8FA" w14:textId="77777777" w:rsidR="007F3ABB" w:rsidRPr="00986DAB" w:rsidRDefault="009C764B" w:rsidP="009543F3">
      <w:pPr>
        <w:pStyle w:val="Heading1"/>
        <w:spacing w:before="120" w:after="120"/>
        <w:ind w:left="567"/>
        <w:rPr>
          <w:rFonts w:ascii="Times New Roman" w:hAnsi="Times New Roman"/>
          <w:b/>
          <w:color w:val="002060"/>
          <w:lang w:val="en-GB"/>
        </w:rPr>
      </w:pPr>
      <w:bookmarkStart w:id="7" w:name="_Toc216278033"/>
      <w:r w:rsidRPr="00986DAB">
        <w:rPr>
          <w:rFonts w:ascii="Times New Roman" w:hAnsi="Times New Roman"/>
          <w:b/>
          <w:color w:val="002060"/>
          <w:lang w:val="en-GB"/>
        </w:rPr>
        <w:t>8. HISTORY OF CHANGES</w:t>
      </w:r>
      <w:bookmarkEnd w:id="7"/>
      <w:r w:rsidRPr="00986DAB">
        <w:rPr>
          <w:rFonts w:ascii="Times New Roman" w:hAnsi="Times New Roman"/>
          <w:b/>
          <w:color w:val="002060"/>
          <w:lang w:val="en-GB"/>
        </w:rPr>
        <w:t xml:space="preserve"> </w:t>
      </w:r>
    </w:p>
    <w:tbl>
      <w:tblPr>
        <w:tblW w:w="9709" w:type="dxa"/>
        <w:tblLayout w:type="fixed"/>
        <w:tblCellMar>
          <w:left w:w="70" w:type="dxa"/>
          <w:right w:w="70" w:type="dxa"/>
        </w:tblCellMar>
        <w:tblLook w:val="0000" w:firstRow="0" w:lastRow="0" w:firstColumn="0" w:lastColumn="0" w:noHBand="0" w:noVBand="0"/>
      </w:tblPr>
      <w:tblGrid>
        <w:gridCol w:w="1196"/>
        <w:gridCol w:w="1348"/>
        <w:gridCol w:w="4536"/>
        <w:gridCol w:w="2629"/>
      </w:tblGrid>
      <w:tr w:rsidR="007F3ABB" w:rsidRPr="00986DAB" w14:paraId="66AF43EB" w14:textId="77777777">
        <w:trPr>
          <w:trHeight w:val="668"/>
        </w:trPr>
        <w:tc>
          <w:tcPr>
            <w:tcW w:w="1196" w:type="dxa"/>
            <w:tcBorders>
              <w:top w:val="single" w:sz="6" w:space="0" w:color="auto"/>
              <w:left w:val="single" w:sz="6" w:space="0" w:color="auto"/>
              <w:bottom w:val="single" w:sz="6" w:space="0" w:color="auto"/>
              <w:right w:val="single" w:sz="6" w:space="0" w:color="auto"/>
            </w:tcBorders>
            <w:shd w:val="clear" w:color="auto" w:fill="auto"/>
            <w:vAlign w:val="center"/>
          </w:tcPr>
          <w:p w14:paraId="164DEB5B" w14:textId="77777777" w:rsidR="007F3ABB" w:rsidRPr="00986DAB" w:rsidRDefault="009C764B" w:rsidP="009543F3">
            <w:pPr>
              <w:spacing w:after="120" w:line="240" w:lineRule="auto"/>
              <w:jc w:val="center"/>
              <w:rPr>
                <w:rFonts w:ascii="Times New Roman" w:hAnsi="Times New Roman" w:cs="Times New Roman"/>
                <w:b/>
                <w:color w:val="002060"/>
                <w:sz w:val="24"/>
                <w:szCs w:val="24"/>
                <w:lang w:val="en-GB"/>
              </w:rPr>
            </w:pPr>
            <w:r w:rsidRPr="00986DAB">
              <w:rPr>
                <w:rFonts w:ascii="Times New Roman" w:hAnsi="Times New Roman" w:cs="Times New Roman"/>
                <w:b/>
                <w:color w:val="002060"/>
                <w:sz w:val="24"/>
                <w:szCs w:val="24"/>
                <w:lang w:val="en-GB"/>
              </w:rPr>
              <w:t>Version code</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tcPr>
          <w:p w14:paraId="464AB157" w14:textId="77777777" w:rsidR="007F3ABB" w:rsidRPr="00986DAB" w:rsidRDefault="009C764B" w:rsidP="009543F3">
            <w:pPr>
              <w:spacing w:after="120" w:line="240" w:lineRule="auto"/>
              <w:jc w:val="center"/>
              <w:rPr>
                <w:rFonts w:ascii="Times New Roman" w:hAnsi="Times New Roman" w:cs="Times New Roman"/>
                <w:b/>
                <w:color w:val="002060"/>
                <w:sz w:val="24"/>
                <w:szCs w:val="24"/>
                <w:lang w:val="en-GB"/>
              </w:rPr>
            </w:pPr>
            <w:r w:rsidRPr="00986DAB">
              <w:rPr>
                <w:rFonts w:ascii="Times New Roman" w:hAnsi="Times New Roman" w:cs="Times New Roman"/>
                <w:b/>
                <w:color w:val="002060"/>
                <w:sz w:val="24"/>
                <w:szCs w:val="24"/>
                <w:lang w:val="en-GB"/>
              </w:rPr>
              <w:t>Document version date</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14:paraId="3A8221AF" w14:textId="77777777" w:rsidR="007F3ABB" w:rsidRPr="00986DAB" w:rsidRDefault="009C764B" w:rsidP="009543F3">
            <w:pPr>
              <w:spacing w:after="120" w:line="240" w:lineRule="auto"/>
              <w:ind w:firstLine="426"/>
              <w:jc w:val="center"/>
              <w:rPr>
                <w:rFonts w:ascii="Times New Roman" w:hAnsi="Times New Roman" w:cs="Times New Roman"/>
                <w:b/>
                <w:color w:val="002060"/>
                <w:sz w:val="24"/>
                <w:szCs w:val="24"/>
                <w:lang w:val="en-GB"/>
              </w:rPr>
            </w:pPr>
            <w:r w:rsidRPr="00986DAB">
              <w:rPr>
                <w:rFonts w:ascii="Times New Roman" w:hAnsi="Times New Roman" w:cs="Times New Roman"/>
                <w:b/>
                <w:color w:val="002060"/>
                <w:sz w:val="24"/>
                <w:szCs w:val="24"/>
                <w:lang w:val="en-GB"/>
              </w:rPr>
              <w:t>Description of changes</w:t>
            </w:r>
          </w:p>
        </w:tc>
        <w:tc>
          <w:tcPr>
            <w:tcW w:w="2629" w:type="dxa"/>
            <w:tcBorders>
              <w:top w:val="single" w:sz="6" w:space="0" w:color="auto"/>
              <w:left w:val="single" w:sz="6" w:space="0" w:color="auto"/>
              <w:bottom w:val="single" w:sz="6" w:space="0" w:color="auto"/>
              <w:right w:val="single" w:sz="6" w:space="0" w:color="auto"/>
            </w:tcBorders>
            <w:vAlign w:val="center"/>
          </w:tcPr>
          <w:p w14:paraId="2D531091" w14:textId="77777777" w:rsidR="007F3ABB" w:rsidRPr="00986DAB" w:rsidRDefault="009C764B" w:rsidP="002853C4">
            <w:pPr>
              <w:spacing w:after="120" w:line="240" w:lineRule="auto"/>
              <w:jc w:val="center"/>
              <w:rPr>
                <w:rFonts w:ascii="Times New Roman" w:hAnsi="Times New Roman" w:cs="Times New Roman"/>
                <w:b/>
                <w:color w:val="002060"/>
                <w:sz w:val="24"/>
                <w:szCs w:val="24"/>
                <w:lang w:val="en-GB"/>
              </w:rPr>
            </w:pPr>
            <w:r w:rsidRPr="00986DAB">
              <w:rPr>
                <w:rFonts w:ascii="Times New Roman" w:hAnsi="Times New Roman" w:cs="Times New Roman"/>
                <w:b/>
                <w:color w:val="002060"/>
                <w:sz w:val="24"/>
                <w:szCs w:val="24"/>
                <w:lang w:val="en-GB"/>
              </w:rPr>
              <w:t>Author (developer) of the document version</w:t>
            </w:r>
          </w:p>
        </w:tc>
      </w:tr>
      <w:tr w:rsidR="007F3ABB" w:rsidRPr="00986DAB" w14:paraId="680E16AF" w14:textId="77777777">
        <w:tc>
          <w:tcPr>
            <w:tcW w:w="1196" w:type="dxa"/>
            <w:tcBorders>
              <w:top w:val="single" w:sz="6" w:space="0" w:color="auto"/>
              <w:left w:val="single" w:sz="6" w:space="0" w:color="auto"/>
              <w:bottom w:val="single" w:sz="6" w:space="0" w:color="auto"/>
              <w:right w:val="single" w:sz="6" w:space="0" w:color="auto"/>
            </w:tcBorders>
            <w:shd w:val="clear" w:color="auto" w:fill="auto"/>
            <w:vAlign w:val="center"/>
          </w:tcPr>
          <w:p w14:paraId="6CCD85E1" w14:textId="77777777" w:rsidR="007F3ABB" w:rsidRPr="00986DAB" w:rsidRDefault="00882C45" w:rsidP="00882C45">
            <w:pPr>
              <w:spacing w:line="240" w:lineRule="auto"/>
              <w:jc w:val="center"/>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952</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tcPr>
          <w:p w14:paraId="2395FE14" w14:textId="574BAFF5" w:rsidR="007F3ABB" w:rsidRPr="00986DAB" w:rsidRDefault="00882C45" w:rsidP="00882C45">
            <w:pPr>
              <w:spacing w:line="240" w:lineRule="auto"/>
              <w:jc w:val="center"/>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25</w:t>
            </w:r>
            <w:r w:rsidR="0008078C">
              <w:rPr>
                <w:rFonts w:ascii="Times New Roman" w:hAnsi="Times New Roman" w:cs="Times New Roman"/>
                <w:color w:val="002060"/>
                <w:sz w:val="24"/>
                <w:szCs w:val="24"/>
                <w:lang w:val="en-GB"/>
              </w:rPr>
              <w:t>.09.2024</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14:paraId="4C410A20" w14:textId="77777777" w:rsidR="007F3ABB" w:rsidRPr="00986DAB" w:rsidRDefault="00882C45" w:rsidP="00D5541F">
            <w:pPr>
              <w:spacing w:line="240" w:lineRule="auto"/>
              <w:ind w:firstLine="66"/>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Document creation</w:t>
            </w:r>
          </w:p>
        </w:tc>
        <w:tc>
          <w:tcPr>
            <w:tcW w:w="2629" w:type="dxa"/>
            <w:tcBorders>
              <w:top w:val="single" w:sz="6" w:space="0" w:color="auto"/>
              <w:left w:val="single" w:sz="6" w:space="0" w:color="auto"/>
              <w:bottom w:val="single" w:sz="6" w:space="0" w:color="auto"/>
              <w:right w:val="single" w:sz="6" w:space="0" w:color="auto"/>
            </w:tcBorders>
          </w:tcPr>
          <w:p w14:paraId="762E44B0" w14:textId="02E64975" w:rsidR="007F3ABB" w:rsidRPr="00986DAB" w:rsidRDefault="0008078C" w:rsidP="00882C45">
            <w:pPr>
              <w:spacing w:line="240" w:lineRule="auto"/>
              <w:jc w:val="center"/>
              <w:rPr>
                <w:rFonts w:ascii="Times New Roman" w:hAnsi="Times New Roman" w:cs="Times New Roman"/>
                <w:color w:val="002060"/>
                <w:sz w:val="24"/>
                <w:szCs w:val="24"/>
                <w:lang w:val="en-GB"/>
              </w:rPr>
            </w:pPr>
            <w:r>
              <w:rPr>
                <w:rFonts w:ascii="Times New Roman" w:hAnsi="Times New Roman" w:cs="Times New Roman"/>
                <w:color w:val="002060"/>
                <w:sz w:val="24"/>
                <w:szCs w:val="24"/>
                <w:lang w:val="en-GB"/>
              </w:rPr>
              <w:t>Valiarov</w:t>
            </w:r>
            <w:r w:rsidR="00882C45" w:rsidRPr="00986DAB">
              <w:rPr>
                <w:rFonts w:ascii="Times New Roman" w:hAnsi="Times New Roman" w:cs="Times New Roman"/>
                <w:color w:val="002060"/>
                <w:sz w:val="24"/>
                <w:szCs w:val="24"/>
                <w:lang w:val="en-GB"/>
              </w:rPr>
              <w:t>ska</w:t>
            </w:r>
            <w:r w:rsidR="00D5541F">
              <w:rPr>
                <w:rFonts w:ascii="Times New Roman" w:hAnsi="Times New Roman" w:cs="Times New Roman"/>
                <w:color w:val="002060"/>
                <w:sz w:val="24"/>
                <w:szCs w:val="24"/>
                <w:lang w:val="en-GB"/>
              </w:rPr>
              <w:t xml:space="preserve"> V.V.</w:t>
            </w:r>
            <w:r w:rsidR="00882C45" w:rsidRPr="00986DAB">
              <w:rPr>
                <w:rFonts w:ascii="Times New Roman" w:hAnsi="Times New Roman" w:cs="Times New Roman"/>
                <w:color w:val="002060"/>
                <w:sz w:val="24"/>
                <w:szCs w:val="24"/>
                <w:lang w:val="en-GB"/>
              </w:rPr>
              <w:t xml:space="preserve">, Risk Management </w:t>
            </w:r>
            <w:r w:rsidR="00935B77">
              <w:rPr>
                <w:rFonts w:ascii="Times New Roman" w:hAnsi="Times New Roman" w:cs="Times New Roman"/>
                <w:color w:val="002060"/>
                <w:sz w:val="24"/>
                <w:szCs w:val="24"/>
                <w:lang w:val="en-GB"/>
              </w:rPr>
              <w:t>Division</w:t>
            </w:r>
          </w:p>
        </w:tc>
      </w:tr>
      <w:tr w:rsidR="00882C45" w:rsidRPr="00986DAB" w14:paraId="01DCC486" w14:textId="77777777">
        <w:tc>
          <w:tcPr>
            <w:tcW w:w="1196" w:type="dxa"/>
            <w:tcBorders>
              <w:top w:val="single" w:sz="6" w:space="0" w:color="auto"/>
              <w:left w:val="single" w:sz="6" w:space="0" w:color="auto"/>
              <w:bottom w:val="single" w:sz="6" w:space="0" w:color="auto"/>
              <w:right w:val="single" w:sz="6" w:space="0" w:color="auto"/>
            </w:tcBorders>
            <w:shd w:val="clear" w:color="auto" w:fill="auto"/>
            <w:vAlign w:val="center"/>
          </w:tcPr>
          <w:p w14:paraId="7F89366D" w14:textId="561E89B6" w:rsidR="00882C45" w:rsidRPr="00986DAB" w:rsidRDefault="00D5541F" w:rsidP="00882C45">
            <w:pPr>
              <w:spacing w:line="240" w:lineRule="auto"/>
              <w:jc w:val="center"/>
              <w:rPr>
                <w:rFonts w:ascii="Times New Roman" w:hAnsi="Times New Roman" w:cs="Times New Roman"/>
                <w:color w:val="002060"/>
                <w:sz w:val="24"/>
                <w:szCs w:val="24"/>
                <w:lang w:val="en-GB"/>
              </w:rPr>
            </w:pPr>
            <w:r>
              <w:rPr>
                <w:rFonts w:ascii="Times New Roman" w:hAnsi="Times New Roman" w:cs="Times New Roman"/>
                <w:color w:val="002060"/>
                <w:sz w:val="24"/>
                <w:szCs w:val="24"/>
                <w:lang w:val="en-GB"/>
              </w:rPr>
              <w:t>1196</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tcPr>
          <w:p w14:paraId="4DF9E14B" w14:textId="28C185F2" w:rsidR="00882C45" w:rsidRPr="00986DAB" w:rsidRDefault="00D5541F" w:rsidP="00882C45">
            <w:pPr>
              <w:spacing w:line="240" w:lineRule="auto"/>
              <w:jc w:val="center"/>
              <w:rPr>
                <w:rFonts w:ascii="Times New Roman" w:hAnsi="Times New Roman" w:cs="Times New Roman"/>
                <w:color w:val="002060"/>
                <w:sz w:val="24"/>
                <w:szCs w:val="24"/>
                <w:lang w:val="en-GB"/>
              </w:rPr>
            </w:pPr>
            <w:r>
              <w:rPr>
                <w:rFonts w:ascii="Times New Roman" w:hAnsi="Times New Roman" w:cs="Times New Roman"/>
                <w:color w:val="002060"/>
                <w:sz w:val="24"/>
                <w:szCs w:val="24"/>
                <w:lang w:val="en-GB"/>
              </w:rPr>
              <w:t>19</w:t>
            </w:r>
            <w:r w:rsidR="00882C45" w:rsidRPr="00986DAB">
              <w:rPr>
                <w:rFonts w:ascii="Times New Roman" w:hAnsi="Times New Roman" w:cs="Times New Roman"/>
                <w:color w:val="002060"/>
                <w:sz w:val="24"/>
                <w:szCs w:val="24"/>
                <w:lang w:val="en-GB"/>
              </w:rPr>
              <w:t>.</w:t>
            </w:r>
            <w:r>
              <w:rPr>
                <w:rFonts w:ascii="Times New Roman" w:hAnsi="Times New Roman" w:cs="Times New Roman"/>
                <w:color w:val="002060"/>
                <w:sz w:val="24"/>
                <w:szCs w:val="24"/>
                <w:lang w:val="en-GB"/>
              </w:rPr>
              <w:t>12</w:t>
            </w:r>
            <w:r w:rsidR="00882C45" w:rsidRPr="00986DAB">
              <w:rPr>
                <w:rFonts w:ascii="Times New Roman" w:hAnsi="Times New Roman" w:cs="Times New Roman"/>
                <w:color w:val="002060"/>
                <w:sz w:val="24"/>
                <w:szCs w:val="24"/>
                <w:lang w:val="en-GB"/>
              </w:rPr>
              <w:t>.2025</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14:paraId="297169E3" w14:textId="77777777" w:rsidR="00882C45" w:rsidRDefault="00882C45" w:rsidP="00D5541F">
            <w:pPr>
              <w:spacing w:after="0" w:line="240" w:lineRule="auto"/>
              <w:ind w:firstLine="66"/>
              <w:rPr>
                <w:rFonts w:ascii="Times New Roman" w:hAnsi="Times New Roman" w:cs="Times New Roman"/>
                <w:color w:val="002060"/>
                <w:sz w:val="24"/>
                <w:szCs w:val="24"/>
                <w:lang w:val="en-GB"/>
              </w:rPr>
            </w:pPr>
            <w:r w:rsidRPr="00986DAB">
              <w:rPr>
                <w:rFonts w:ascii="Times New Roman" w:hAnsi="Times New Roman" w:cs="Times New Roman"/>
                <w:color w:val="002060"/>
                <w:sz w:val="24"/>
                <w:szCs w:val="24"/>
                <w:lang w:val="en-GB"/>
              </w:rPr>
              <w:t>Annual update of the document</w:t>
            </w:r>
          </w:p>
          <w:p w14:paraId="0644D118" w14:textId="2A63C38B" w:rsidR="0008078C" w:rsidRPr="00986DAB" w:rsidRDefault="0008078C" w:rsidP="00D5541F">
            <w:pPr>
              <w:spacing w:after="0" w:line="240" w:lineRule="auto"/>
              <w:ind w:firstLine="66"/>
              <w:rPr>
                <w:rFonts w:ascii="Times New Roman" w:hAnsi="Times New Roman" w:cs="Times New Roman"/>
                <w:color w:val="002060"/>
                <w:sz w:val="24"/>
                <w:szCs w:val="24"/>
                <w:lang w:val="en-GB"/>
              </w:rPr>
            </w:pPr>
            <w:r>
              <w:rPr>
                <w:rFonts w:ascii="Times New Roman" w:hAnsi="Times New Roman" w:cs="Times New Roman"/>
                <w:color w:val="002060"/>
                <w:sz w:val="24"/>
                <w:szCs w:val="24"/>
                <w:lang w:val="en-GB"/>
              </w:rPr>
              <w:t xml:space="preserve">New document format </w:t>
            </w:r>
          </w:p>
        </w:tc>
        <w:tc>
          <w:tcPr>
            <w:tcW w:w="2629" w:type="dxa"/>
            <w:tcBorders>
              <w:top w:val="single" w:sz="6" w:space="0" w:color="auto"/>
              <w:left w:val="single" w:sz="6" w:space="0" w:color="auto"/>
              <w:bottom w:val="single" w:sz="6" w:space="0" w:color="auto"/>
              <w:right w:val="single" w:sz="6" w:space="0" w:color="auto"/>
            </w:tcBorders>
          </w:tcPr>
          <w:p w14:paraId="191626D7" w14:textId="51D1BDC3" w:rsidR="00882C45" w:rsidRPr="00986DAB" w:rsidRDefault="0008078C" w:rsidP="00882C45">
            <w:pPr>
              <w:spacing w:line="240" w:lineRule="auto"/>
              <w:jc w:val="center"/>
              <w:rPr>
                <w:rFonts w:ascii="Times New Roman" w:hAnsi="Times New Roman" w:cs="Times New Roman"/>
                <w:color w:val="002060"/>
                <w:sz w:val="24"/>
                <w:szCs w:val="24"/>
                <w:lang w:val="en-GB"/>
              </w:rPr>
            </w:pPr>
            <w:r>
              <w:rPr>
                <w:rFonts w:ascii="Times New Roman" w:hAnsi="Times New Roman" w:cs="Times New Roman"/>
                <w:color w:val="002060"/>
                <w:sz w:val="24"/>
                <w:szCs w:val="24"/>
                <w:lang w:val="en-GB"/>
              </w:rPr>
              <w:t>Valiarov</w:t>
            </w:r>
            <w:r w:rsidR="00882C45" w:rsidRPr="00986DAB">
              <w:rPr>
                <w:rFonts w:ascii="Times New Roman" w:hAnsi="Times New Roman" w:cs="Times New Roman"/>
                <w:color w:val="002060"/>
                <w:sz w:val="24"/>
                <w:szCs w:val="24"/>
                <w:lang w:val="en-GB"/>
              </w:rPr>
              <w:t>ska</w:t>
            </w:r>
            <w:r w:rsidR="00D5541F">
              <w:rPr>
                <w:rFonts w:ascii="Times New Roman" w:hAnsi="Times New Roman" w:cs="Times New Roman"/>
                <w:color w:val="002060"/>
                <w:sz w:val="24"/>
                <w:szCs w:val="24"/>
                <w:lang w:val="en-GB"/>
              </w:rPr>
              <w:t xml:space="preserve"> V.V.</w:t>
            </w:r>
            <w:r w:rsidR="00882C45" w:rsidRPr="00986DAB">
              <w:rPr>
                <w:rFonts w:ascii="Times New Roman" w:hAnsi="Times New Roman" w:cs="Times New Roman"/>
                <w:color w:val="002060"/>
                <w:sz w:val="24"/>
                <w:szCs w:val="24"/>
                <w:lang w:val="en-GB"/>
              </w:rPr>
              <w:t xml:space="preserve">, Risk Management </w:t>
            </w:r>
            <w:r w:rsidR="00935B77">
              <w:rPr>
                <w:rFonts w:ascii="Times New Roman" w:hAnsi="Times New Roman" w:cs="Times New Roman"/>
                <w:color w:val="002060"/>
                <w:sz w:val="24"/>
                <w:szCs w:val="24"/>
                <w:lang w:val="en-GB"/>
              </w:rPr>
              <w:t>Division</w:t>
            </w:r>
          </w:p>
        </w:tc>
      </w:tr>
    </w:tbl>
    <w:p w14:paraId="0D6C07EC" w14:textId="77777777" w:rsidR="007F3ABB" w:rsidRPr="00986DAB" w:rsidRDefault="009C764B" w:rsidP="001A0E74">
      <w:pPr>
        <w:pStyle w:val="Heading1"/>
        <w:spacing w:before="120"/>
        <w:ind w:left="567"/>
        <w:rPr>
          <w:rFonts w:ascii="Times New Roman" w:hAnsi="Times New Roman"/>
          <w:b/>
          <w:color w:val="002060"/>
          <w:lang w:val="en-GB"/>
        </w:rPr>
      </w:pPr>
      <w:bookmarkStart w:id="8" w:name="_Toc216278034"/>
      <w:r w:rsidRPr="00986DAB">
        <w:rPr>
          <w:rFonts w:ascii="Times New Roman" w:hAnsi="Times New Roman"/>
          <w:b/>
          <w:color w:val="002060"/>
          <w:lang w:val="en-GB"/>
        </w:rPr>
        <w:t>9. META DATA</w:t>
      </w:r>
      <w:bookmarkEnd w:id="8"/>
    </w:p>
    <w:p w14:paraId="0478A7E8"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t>ESG (Environmental, Social, Governance)</w:t>
      </w:r>
    </w:p>
    <w:p w14:paraId="23CE181F"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t>Environmental risks</w:t>
      </w:r>
    </w:p>
    <w:p w14:paraId="34801084"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t>social risks</w:t>
      </w:r>
    </w:p>
    <w:p w14:paraId="300654B9"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t>management risks</w:t>
      </w:r>
    </w:p>
    <w:p w14:paraId="7DECFC98"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t>sustainable development</w:t>
      </w:r>
    </w:p>
    <w:p w14:paraId="07A346B0"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t>environmental and social management</w:t>
      </w:r>
    </w:p>
    <w:p w14:paraId="1DDB7DF8"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t>corporate governance</w:t>
      </w:r>
    </w:p>
    <w:p w14:paraId="087C5722" w14:textId="77777777" w:rsidR="0011280F" w:rsidRPr="00986DAB" w:rsidRDefault="0011280F" w:rsidP="00206DAE">
      <w:pPr>
        <w:pStyle w:val="NormalWeb"/>
        <w:numPr>
          <w:ilvl w:val="0"/>
          <w:numId w:val="9"/>
        </w:numPr>
        <w:spacing w:after="0"/>
        <w:ind w:left="851" w:hanging="284"/>
        <w:rPr>
          <w:bCs/>
          <w:i/>
          <w:color w:val="002060"/>
          <w:lang w:val="en-GB" w:eastAsia="el-GR"/>
        </w:rPr>
      </w:pPr>
      <w:r w:rsidRPr="00986DAB">
        <w:rPr>
          <w:bCs/>
          <w:i/>
          <w:color w:val="002060"/>
          <w:lang w:val="en-GB" w:eastAsia="el-GR"/>
        </w:rPr>
        <w:t>risk management</w:t>
      </w:r>
    </w:p>
    <w:p w14:paraId="25276422"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lastRenderedPageBreak/>
        <w:t>internal control</w:t>
      </w:r>
    </w:p>
    <w:p w14:paraId="73392957"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t>credit policy</w:t>
      </w:r>
    </w:p>
    <w:p w14:paraId="72F3E943"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t>international standards (IFC, EBRD, Equator Principles)</w:t>
      </w:r>
    </w:p>
    <w:p w14:paraId="12489685"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t>sustainable banking / green banking</w:t>
      </w:r>
    </w:p>
    <w:p w14:paraId="05C32471" w14:textId="77777777" w:rsidR="0011280F" w:rsidRPr="00986DAB" w:rsidRDefault="0011280F" w:rsidP="0011280F">
      <w:pPr>
        <w:pStyle w:val="NormalWeb"/>
        <w:numPr>
          <w:ilvl w:val="0"/>
          <w:numId w:val="9"/>
        </w:numPr>
        <w:spacing w:after="0"/>
        <w:ind w:left="851" w:hanging="284"/>
        <w:rPr>
          <w:bCs/>
          <w:i/>
          <w:color w:val="002060"/>
          <w:lang w:val="en-GB" w:eastAsia="el-GR"/>
        </w:rPr>
      </w:pPr>
      <w:r w:rsidRPr="00986DAB">
        <w:rPr>
          <w:bCs/>
          <w:i/>
          <w:color w:val="002060"/>
          <w:lang w:val="en-GB" w:eastAsia="el-GR"/>
        </w:rPr>
        <w:t>Environmental and social assessment</w:t>
      </w:r>
    </w:p>
    <w:p w14:paraId="4F04077B" w14:textId="0883013E" w:rsidR="007F3ABB" w:rsidRPr="00910909" w:rsidRDefault="0011280F" w:rsidP="00910909">
      <w:pPr>
        <w:pStyle w:val="NormalWeb"/>
        <w:numPr>
          <w:ilvl w:val="0"/>
          <w:numId w:val="9"/>
        </w:numPr>
        <w:spacing w:after="0"/>
        <w:ind w:left="851" w:hanging="284"/>
        <w:rPr>
          <w:bCs/>
          <w:i/>
          <w:color w:val="002060"/>
          <w:lang w:val="en-GB" w:eastAsia="el-GR"/>
        </w:rPr>
      </w:pPr>
      <w:r w:rsidRPr="00986DAB">
        <w:rPr>
          <w:bCs/>
          <w:i/>
          <w:color w:val="002060"/>
          <w:lang w:val="en-GB" w:eastAsia="el-GR"/>
        </w:rPr>
        <w:t>customer risk management</w:t>
      </w:r>
    </w:p>
    <w:p w14:paraId="689FDF22" w14:textId="53E43937" w:rsidR="007F3ABB" w:rsidRPr="00986DAB" w:rsidRDefault="00E91470" w:rsidP="00703CBB">
      <w:pPr>
        <w:pStyle w:val="Heading1"/>
        <w:rPr>
          <w:bCs/>
          <w:i/>
          <w:szCs w:val="24"/>
          <w:lang w:val="en-GB" w:eastAsia="el-GR"/>
        </w:rPr>
      </w:pPr>
      <w:bookmarkStart w:id="9" w:name="_Toc216278035"/>
      <w:r>
        <w:rPr>
          <w:rStyle w:val="Heading1Char"/>
          <w:rFonts w:ascii="Times New Roman" w:eastAsia="Calibri" w:hAnsi="Times New Roman"/>
          <w:b/>
          <w:color w:val="002060"/>
          <w:lang w:val="en-GB"/>
        </w:rPr>
        <w:t>ANNEX</w:t>
      </w:r>
      <w:r w:rsidR="009C764B" w:rsidRPr="00986DAB">
        <w:rPr>
          <w:rStyle w:val="Heading1Char"/>
          <w:rFonts w:ascii="Times New Roman" w:eastAsia="Calibri" w:hAnsi="Times New Roman"/>
          <w:b/>
          <w:color w:val="002060"/>
          <w:lang w:val="en-GB"/>
        </w:rPr>
        <w:t>ES</w:t>
      </w:r>
      <w:bookmarkEnd w:id="9"/>
      <w:r w:rsidR="009C764B" w:rsidRPr="00986DAB">
        <w:rPr>
          <w:bCs/>
          <w:szCs w:val="24"/>
          <w:lang w:val="en-GB" w:eastAsia="el-GR"/>
        </w:rPr>
        <w:t xml:space="preserve">  </w:t>
      </w:r>
    </w:p>
    <w:tbl>
      <w:tblPr>
        <w:tblStyle w:val="TableGrid"/>
        <w:tblW w:w="9782" w:type="dxa"/>
        <w:tblInd w:w="-289" w:type="dxa"/>
        <w:tblLook w:val="04A0" w:firstRow="1" w:lastRow="0" w:firstColumn="1" w:lastColumn="0" w:noHBand="0" w:noVBand="1"/>
      </w:tblPr>
      <w:tblGrid>
        <w:gridCol w:w="709"/>
        <w:gridCol w:w="7332"/>
        <w:gridCol w:w="1741"/>
      </w:tblGrid>
      <w:tr w:rsidR="002853C4" w:rsidRPr="00986DAB" w14:paraId="7179E845" w14:textId="77777777" w:rsidTr="00281997">
        <w:trPr>
          <w:trHeight w:val="588"/>
        </w:trPr>
        <w:tc>
          <w:tcPr>
            <w:tcW w:w="710" w:type="dxa"/>
            <w:vAlign w:val="center"/>
          </w:tcPr>
          <w:p w14:paraId="5840194E" w14:textId="77777777" w:rsidR="002853C4" w:rsidRPr="00986DAB" w:rsidRDefault="002853C4" w:rsidP="00936402">
            <w:pPr>
              <w:jc w:val="center"/>
              <w:rPr>
                <w:rFonts w:ascii="Times New Roman" w:hAnsi="Times New Roman"/>
                <w:b/>
                <w:color w:val="002060"/>
                <w:sz w:val="24"/>
                <w:szCs w:val="24"/>
                <w:lang w:val="en-GB" w:eastAsia="uk-UA"/>
              </w:rPr>
            </w:pPr>
            <w:r w:rsidRPr="00986DAB">
              <w:rPr>
                <w:rFonts w:ascii="Times New Roman" w:hAnsi="Times New Roman"/>
                <w:b/>
                <w:color w:val="002060"/>
                <w:sz w:val="24"/>
                <w:szCs w:val="24"/>
                <w:lang w:val="en-GB" w:eastAsia="uk-UA"/>
              </w:rPr>
              <w:t xml:space="preserve">No. </w:t>
            </w:r>
          </w:p>
        </w:tc>
        <w:tc>
          <w:tcPr>
            <w:tcW w:w="7371" w:type="dxa"/>
            <w:vAlign w:val="center"/>
          </w:tcPr>
          <w:p w14:paraId="2E17AC24" w14:textId="41550FB1" w:rsidR="002853C4" w:rsidRPr="00986DAB" w:rsidRDefault="002853C4" w:rsidP="00936402">
            <w:pPr>
              <w:jc w:val="center"/>
              <w:rPr>
                <w:rFonts w:ascii="Times New Roman" w:hAnsi="Times New Roman"/>
                <w:b/>
                <w:color w:val="002060"/>
                <w:sz w:val="24"/>
                <w:szCs w:val="24"/>
                <w:lang w:val="en-GB" w:eastAsia="uk-UA"/>
              </w:rPr>
            </w:pPr>
            <w:r w:rsidRPr="00986DAB">
              <w:rPr>
                <w:rFonts w:ascii="Times New Roman" w:hAnsi="Times New Roman"/>
                <w:b/>
                <w:color w:val="002060"/>
                <w:sz w:val="24"/>
                <w:szCs w:val="24"/>
                <w:lang w:val="en-GB" w:eastAsia="uk-UA"/>
              </w:rPr>
              <w:t xml:space="preserve">Name of </w:t>
            </w:r>
            <w:r w:rsidR="00E91470">
              <w:rPr>
                <w:rFonts w:ascii="Times New Roman" w:hAnsi="Times New Roman"/>
                <w:b/>
                <w:color w:val="002060"/>
                <w:sz w:val="24"/>
                <w:szCs w:val="24"/>
                <w:lang w:val="en-GB" w:eastAsia="uk-UA"/>
              </w:rPr>
              <w:t>Annex</w:t>
            </w:r>
            <w:r w:rsidRPr="00986DAB">
              <w:rPr>
                <w:rFonts w:ascii="Times New Roman" w:hAnsi="Times New Roman"/>
                <w:b/>
                <w:color w:val="002060"/>
                <w:sz w:val="24"/>
                <w:szCs w:val="24"/>
                <w:lang w:val="en-GB" w:eastAsia="uk-UA"/>
              </w:rPr>
              <w:t xml:space="preserve"> </w:t>
            </w:r>
          </w:p>
        </w:tc>
        <w:tc>
          <w:tcPr>
            <w:tcW w:w="1701" w:type="dxa"/>
            <w:vAlign w:val="center"/>
          </w:tcPr>
          <w:p w14:paraId="5D339CA5" w14:textId="77777777" w:rsidR="002853C4" w:rsidRPr="00986DAB" w:rsidRDefault="002853C4" w:rsidP="00936402">
            <w:pPr>
              <w:jc w:val="center"/>
              <w:rPr>
                <w:rFonts w:ascii="Times New Roman" w:hAnsi="Times New Roman"/>
                <w:b/>
                <w:color w:val="002060"/>
                <w:sz w:val="24"/>
                <w:szCs w:val="24"/>
                <w:lang w:val="en-GB" w:eastAsia="uk-UA"/>
              </w:rPr>
            </w:pPr>
          </w:p>
          <w:p w14:paraId="200D4F4B" w14:textId="77777777" w:rsidR="002853C4" w:rsidRPr="00986DAB" w:rsidRDefault="002853C4" w:rsidP="00936402">
            <w:pPr>
              <w:jc w:val="center"/>
              <w:rPr>
                <w:rFonts w:ascii="Times New Roman" w:hAnsi="Times New Roman"/>
                <w:b/>
                <w:color w:val="002060"/>
                <w:sz w:val="24"/>
                <w:szCs w:val="24"/>
                <w:lang w:val="en-GB" w:eastAsia="uk-UA"/>
              </w:rPr>
            </w:pPr>
            <w:r w:rsidRPr="00986DAB">
              <w:rPr>
                <w:rFonts w:ascii="Times New Roman" w:hAnsi="Times New Roman"/>
                <w:b/>
                <w:color w:val="002060"/>
                <w:sz w:val="24"/>
                <w:szCs w:val="24"/>
                <w:lang w:val="en-GB" w:eastAsia="uk-UA"/>
              </w:rPr>
              <w:t>Document</w:t>
            </w:r>
          </w:p>
          <w:p w14:paraId="39A7B28F" w14:textId="77777777" w:rsidR="002853C4" w:rsidRPr="00986DAB" w:rsidRDefault="002853C4" w:rsidP="00936402">
            <w:pPr>
              <w:jc w:val="center"/>
              <w:rPr>
                <w:rFonts w:ascii="Times New Roman" w:hAnsi="Times New Roman"/>
                <w:b/>
                <w:color w:val="002060"/>
                <w:sz w:val="24"/>
                <w:szCs w:val="24"/>
                <w:lang w:val="en-GB" w:eastAsia="uk-UA"/>
              </w:rPr>
            </w:pPr>
          </w:p>
        </w:tc>
      </w:tr>
      <w:tr w:rsidR="002853C4" w:rsidRPr="00986DAB" w14:paraId="07E96C84" w14:textId="77777777" w:rsidTr="00281997">
        <w:trPr>
          <w:trHeight w:val="601"/>
        </w:trPr>
        <w:tc>
          <w:tcPr>
            <w:tcW w:w="710" w:type="dxa"/>
            <w:vAlign w:val="center"/>
          </w:tcPr>
          <w:p w14:paraId="6CD0947A" w14:textId="77777777" w:rsidR="002853C4" w:rsidRPr="00986DAB" w:rsidRDefault="002853C4" w:rsidP="00936402">
            <w:pPr>
              <w:jc w:val="center"/>
              <w:rPr>
                <w:rFonts w:ascii="Times New Roman" w:hAnsi="Times New Roman"/>
                <w:b/>
                <w:color w:val="002060"/>
                <w:sz w:val="24"/>
                <w:szCs w:val="24"/>
                <w:lang w:val="en-GB" w:eastAsia="uk-UA"/>
              </w:rPr>
            </w:pPr>
            <w:r w:rsidRPr="00986DAB">
              <w:rPr>
                <w:rFonts w:ascii="Times New Roman" w:hAnsi="Times New Roman"/>
                <w:b/>
                <w:color w:val="002060"/>
                <w:sz w:val="24"/>
                <w:szCs w:val="24"/>
                <w:lang w:val="en-GB" w:eastAsia="uk-UA"/>
              </w:rPr>
              <w:t>1</w:t>
            </w:r>
          </w:p>
        </w:tc>
        <w:tc>
          <w:tcPr>
            <w:tcW w:w="7371" w:type="dxa"/>
            <w:vAlign w:val="center"/>
          </w:tcPr>
          <w:p w14:paraId="18DCFE70" w14:textId="7B530B74" w:rsidR="002853C4" w:rsidRPr="00986DAB" w:rsidRDefault="00E91470" w:rsidP="00E14475">
            <w:pPr>
              <w:rPr>
                <w:rFonts w:ascii="Times New Roman" w:hAnsi="Times New Roman"/>
                <w:color w:val="002060"/>
                <w:sz w:val="24"/>
                <w:szCs w:val="24"/>
                <w:lang w:val="en-GB"/>
              </w:rPr>
            </w:pPr>
            <w:bookmarkStart w:id="10" w:name="_Toc190983923"/>
            <w:bookmarkStart w:id="11" w:name="_Toc204771459"/>
            <w:bookmarkStart w:id="12" w:name="_Toc208834378"/>
            <w:r>
              <w:rPr>
                <w:rFonts w:ascii="Times New Roman" w:hAnsi="Times New Roman"/>
                <w:color w:val="002060"/>
                <w:sz w:val="24"/>
                <w:szCs w:val="24"/>
                <w:lang w:val="en-GB"/>
              </w:rPr>
              <w:t>Anne</w:t>
            </w:r>
            <w:r w:rsidR="00703CBB" w:rsidRPr="00986DAB">
              <w:rPr>
                <w:rFonts w:ascii="Times New Roman" w:hAnsi="Times New Roman"/>
                <w:color w:val="002060"/>
                <w:sz w:val="24"/>
                <w:szCs w:val="24"/>
                <w:lang w:val="en-GB"/>
              </w:rPr>
              <w:t xml:space="preserve">x </w:t>
            </w:r>
            <w:r w:rsidR="00E14475" w:rsidRPr="00986DAB">
              <w:rPr>
                <w:rFonts w:ascii="Times New Roman" w:hAnsi="Times New Roman"/>
                <w:color w:val="002060"/>
                <w:sz w:val="24"/>
                <w:szCs w:val="24"/>
                <w:lang w:val="en-GB"/>
              </w:rPr>
              <w:t xml:space="preserve">A – Flowchart for ESG risk assessment </w:t>
            </w:r>
            <w:bookmarkEnd w:id="10"/>
            <w:bookmarkEnd w:id="11"/>
            <w:bookmarkEnd w:id="12"/>
          </w:p>
        </w:tc>
        <w:bookmarkStart w:id="13" w:name="_MON_1821375333"/>
        <w:bookmarkStart w:id="14" w:name="_MON_1801898143"/>
        <w:bookmarkEnd w:id="13"/>
        <w:bookmarkEnd w:id="14"/>
        <w:bookmarkStart w:id="15" w:name="_MON_1825616341"/>
        <w:bookmarkEnd w:id="15"/>
        <w:tc>
          <w:tcPr>
            <w:tcW w:w="1701" w:type="dxa"/>
          </w:tcPr>
          <w:p w14:paraId="7119DABD" w14:textId="40CF8A32" w:rsidR="002853C4" w:rsidRPr="00986DAB" w:rsidRDefault="00B217B9" w:rsidP="00936402">
            <w:pPr>
              <w:jc w:val="center"/>
              <w:rPr>
                <w:rFonts w:ascii="Times New Roman" w:hAnsi="Times New Roman"/>
                <w:b/>
                <w:color w:val="002060"/>
                <w:sz w:val="24"/>
                <w:szCs w:val="24"/>
                <w:lang w:val="en-GB" w:eastAsia="uk-UA"/>
              </w:rPr>
            </w:pPr>
            <w:r>
              <w:rPr>
                <w:rFonts w:ascii="Times New Roman" w:hAnsi="Times New Roman" w:cs="Calibri"/>
                <w:b/>
                <w:color w:val="002060"/>
                <w:sz w:val="24"/>
                <w:szCs w:val="24"/>
                <w:lang w:val="en-GB" w:eastAsia="uk-UA"/>
              </w:rPr>
              <w:object w:dxaOrig="1520" w:dyaOrig="987" w14:anchorId="74F57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9" o:title=""/>
                </v:shape>
                <o:OLEObject Type="Embed" ProgID="Word.Document.12" ShapeID="_x0000_i1025" DrawAspect="Icon" ObjectID="_1829195655" r:id="rId10">
                  <o:FieldCodes>\s</o:FieldCodes>
                </o:OLEObject>
              </w:object>
            </w:r>
            <w:r w:rsidR="002853C4" w:rsidRPr="00986DAB">
              <w:rPr>
                <w:rFonts w:ascii="Times New Roman" w:hAnsi="Times New Roman"/>
                <w:b/>
                <w:noProof/>
                <w:color w:val="002060"/>
                <w:sz w:val="24"/>
                <w:szCs w:val="24"/>
                <w:lang w:eastAsia="uk-UA"/>
              </w:rPr>
              <mc:AlternateContent>
                <mc:Choice Requires="wps">
                  <w:drawing>
                    <wp:anchor distT="0" distB="0" distL="114300" distR="114300" simplePos="0" relativeHeight="251661312" behindDoc="0" locked="0" layoutInCell="1" allowOverlap="1" wp14:anchorId="5DB75CA8" wp14:editId="5E6A7ABC">
                      <wp:simplePos x="0" y="0"/>
                      <wp:positionH relativeFrom="column">
                        <wp:posOffset>0</wp:posOffset>
                      </wp:positionH>
                      <wp:positionV relativeFrom="paragraph">
                        <wp:posOffset>0</wp:posOffset>
                      </wp:positionV>
                      <wp:extent cx="635000" cy="635000"/>
                      <wp:effectExtent l="19050" t="19050" r="12700" b="12700"/>
                      <wp:wrapNone/>
                      <wp:docPr id="6" name="Rectangl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Rectangle 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HqkxYUhAgAARgQAAA4AAAAAAAAAAAAAAAAALgIAAGRycy9lMm9Eb2MueG1sUEsBAi0A&#10;FAAGAAgAAAAhAOuNHvvYAAAABQEAAA8AAAAAAAAAAAAAAAAAewQAAGRycy9kb3ducmV2LnhtbFBL&#10;BQYAAAAABAAEAPMAAACABQAAAAA=&#10;" w14:anchorId="6FA65C71">
                      <v:stroke joinstyle="round"/>
                      <o:lock v:ext="edit" selection="t"/>
                    </v:rect>
                  </w:pict>
                </mc:Fallback>
              </mc:AlternateContent>
            </w:r>
          </w:p>
        </w:tc>
      </w:tr>
      <w:tr w:rsidR="002853C4" w:rsidRPr="00986DAB" w14:paraId="3CC2FFBF" w14:textId="77777777" w:rsidTr="00281997">
        <w:tc>
          <w:tcPr>
            <w:tcW w:w="710" w:type="dxa"/>
            <w:vAlign w:val="center"/>
          </w:tcPr>
          <w:p w14:paraId="20F4AE24" w14:textId="77777777" w:rsidR="002853C4" w:rsidRPr="00986DAB" w:rsidRDefault="00011DDF" w:rsidP="00936402">
            <w:pPr>
              <w:jc w:val="center"/>
              <w:rPr>
                <w:rFonts w:ascii="Times New Roman" w:hAnsi="Times New Roman"/>
                <w:b/>
                <w:color w:val="002060"/>
                <w:sz w:val="24"/>
                <w:szCs w:val="24"/>
                <w:lang w:val="en-GB" w:eastAsia="uk-UA"/>
              </w:rPr>
            </w:pPr>
            <w:r w:rsidRPr="00986DAB">
              <w:rPr>
                <w:rFonts w:ascii="Times New Roman" w:hAnsi="Times New Roman"/>
                <w:b/>
                <w:color w:val="002060"/>
                <w:sz w:val="24"/>
                <w:szCs w:val="24"/>
                <w:lang w:val="en-GB" w:eastAsia="uk-UA"/>
              </w:rPr>
              <w:t>2</w:t>
            </w:r>
          </w:p>
        </w:tc>
        <w:tc>
          <w:tcPr>
            <w:tcW w:w="7371" w:type="dxa"/>
            <w:vAlign w:val="center"/>
          </w:tcPr>
          <w:p w14:paraId="65C958AB" w14:textId="0DE0C992" w:rsidR="002853C4" w:rsidRPr="00986DAB" w:rsidRDefault="00E91470" w:rsidP="006D3E44">
            <w:pPr>
              <w:rPr>
                <w:rFonts w:ascii="Times New Roman" w:hAnsi="Times New Roman"/>
                <w:color w:val="002060"/>
                <w:sz w:val="24"/>
                <w:szCs w:val="24"/>
                <w:lang w:val="en-GB"/>
              </w:rPr>
            </w:pPr>
            <w:bookmarkStart w:id="16" w:name="_Toc204771460"/>
            <w:bookmarkStart w:id="17" w:name="_Toc208834379"/>
            <w:r>
              <w:rPr>
                <w:rFonts w:ascii="Times New Roman" w:hAnsi="Times New Roman"/>
                <w:color w:val="002060"/>
                <w:sz w:val="24"/>
                <w:szCs w:val="24"/>
                <w:lang w:val="en-GB"/>
              </w:rPr>
              <w:t>Annex</w:t>
            </w:r>
            <w:r w:rsidR="00703CBB" w:rsidRPr="00986DAB">
              <w:rPr>
                <w:rFonts w:ascii="Times New Roman" w:hAnsi="Times New Roman"/>
                <w:color w:val="002060"/>
                <w:sz w:val="24"/>
                <w:szCs w:val="24"/>
                <w:lang w:val="en-GB"/>
              </w:rPr>
              <w:t xml:space="preserve"> B </w:t>
            </w:r>
            <w:r w:rsidR="002853C4" w:rsidRPr="00986DAB">
              <w:rPr>
                <w:rFonts w:ascii="Times New Roman" w:hAnsi="Times New Roman"/>
                <w:color w:val="002060"/>
                <w:sz w:val="24"/>
                <w:szCs w:val="24"/>
                <w:lang w:val="en-GB"/>
              </w:rPr>
              <w:t xml:space="preserve">– </w:t>
            </w:r>
            <w:r>
              <w:rPr>
                <w:rFonts w:ascii="Times New Roman" w:hAnsi="Times New Roman"/>
                <w:color w:val="002060"/>
                <w:sz w:val="24"/>
                <w:szCs w:val="24"/>
                <w:lang w:val="en-GB"/>
              </w:rPr>
              <w:t xml:space="preserve">Exclusion </w:t>
            </w:r>
            <w:r w:rsidR="0061133A" w:rsidRPr="00986DAB">
              <w:rPr>
                <w:rFonts w:ascii="Times New Roman" w:hAnsi="Times New Roman"/>
                <w:color w:val="002060"/>
                <w:sz w:val="24"/>
                <w:szCs w:val="24"/>
                <w:lang w:val="en-GB"/>
              </w:rPr>
              <w:t>List</w:t>
            </w:r>
            <w:bookmarkEnd w:id="16"/>
            <w:bookmarkEnd w:id="17"/>
          </w:p>
          <w:p w14:paraId="785B7DCC" w14:textId="77777777" w:rsidR="002853C4" w:rsidRPr="00986DAB" w:rsidRDefault="002853C4" w:rsidP="006D3E44">
            <w:pPr>
              <w:rPr>
                <w:rFonts w:ascii="Times New Roman" w:hAnsi="Times New Roman"/>
                <w:color w:val="002060"/>
                <w:sz w:val="24"/>
                <w:szCs w:val="24"/>
                <w:lang w:val="en-GB"/>
              </w:rPr>
            </w:pPr>
          </w:p>
        </w:tc>
        <w:bookmarkStart w:id="18" w:name="_MON_1824237596"/>
        <w:bookmarkStart w:id="19" w:name="_MON_1821375619"/>
        <w:bookmarkEnd w:id="18"/>
        <w:bookmarkEnd w:id="19"/>
        <w:bookmarkStart w:id="20" w:name="_MON_1825616366"/>
        <w:bookmarkEnd w:id="20"/>
        <w:tc>
          <w:tcPr>
            <w:tcW w:w="1701" w:type="dxa"/>
          </w:tcPr>
          <w:p w14:paraId="68F5E79A" w14:textId="22B79060" w:rsidR="002853C4" w:rsidRPr="00986DAB" w:rsidRDefault="00B6051C" w:rsidP="00936402">
            <w:pPr>
              <w:jc w:val="center"/>
              <w:rPr>
                <w:rFonts w:ascii="Times New Roman" w:hAnsi="Times New Roman"/>
                <w:b/>
                <w:color w:val="002060"/>
                <w:sz w:val="24"/>
                <w:szCs w:val="24"/>
                <w:lang w:val="en-GB" w:eastAsia="uk-UA"/>
              </w:rPr>
            </w:pPr>
            <w:r>
              <w:rPr>
                <w:rFonts w:ascii="Times New Roman" w:hAnsi="Times New Roman" w:cs="Calibri"/>
                <w:b/>
                <w:color w:val="002060"/>
                <w:sz w:val="24"/>
                <w:szCs w:val="24"/>
                <w:lang w:val="en-GB" w:eastAsia="uk-UA"/>
              </w:rPr>
              <w:object w:dxaOrig="1520" w:dyaOrig="987" w14:anchorId="38ECD87C">
                <v:shape id="_x0000_i1031" type="#_x0000_t75" style="width:76.2pt;height:49.2pt" o:ole="">
                  <v:imagedata r:id="rId11" o:title=""/>
                </v:shape>
                <o:OLEObject Type="Embed" ProgID="Word.Document.12" ShapeID="_x0000_i1031" DrawAspect="Icon" ObjectID="_1829195656" r:id="rId12">
                  <o:FieldCodes>\s</o:FieldCodes>
                </o:OLEObject>
              </w:object>
            </w:r>
            <w:r w:rsidR="002853C4" w:rsidRPr="00986DAB">
              <w:rPr>
                <w:rFonts w:ascii="Times New Roman" w:hAnsi="Times New Roman"/>
                <w:b/>
                <w:noProof/>
                <w:color w:val="002060"/>
                <w:sz w:val="24"/>
                <w:szCs w:val="24"/>
                <w:lang w:eastAsia="uk-UA"/>
              </w:rPr>
              <mc:AlternateContent>
                <mc:Choice Requires="wps">
                  <w:drawing>
                    <wp:anchor distT="0" distB="0" distL="114300" distR="114300" simplePos="0" relativeHeight="251662336" behindDoc="0" locked="0" layoutInCell="1" allowOverlap="1" wp14:anchorId="5879CF7B" wp14:editId="5419973F">
                      <wp:simplePos x="0" y="0"/>
                      <wp:positionH relativeFrom="column">
                        <wp:posOffset>0</wp:posOffset>
                      </wp:positionH>
                      <wp:positionV relativeFrom="paragraph">
                        <wp:posOffset>0</wp:posOffset>
                      </wp:positionV>
                      <wp:extent cx="635000" cy="635000"/>
                      <wp:effectExtent l="19050" t="19050" r="12700" b="12700"/>
                      <wp:wrapNone/>
                      <wp:docPr id="5" name="Rectangl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Rectangle 5"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JVshDkhAgAARgQAAA4AAAAAAAAAAAAAAAAALgIAAGRycy9lMm9Eb2MueG1sUEsBAi0A&#10;FAAGAAgAAAAhAOuNHvvYAAAABQEAAA8AAAAAAAAAAAAAAAAAewQAAGRycy9kb3ducmV2LnhtbFBL&#10;BQYAAAAABAAEAPMAAACABQAAAAA=&#10;" w14:anchorId="3DD1B5FF">
                      <v:stroke joinstyle="round"/>
                      <o:lock v:ext="edit" selection="t"/>
                    </v:rect>
                  </w:pict>
                </mc:Fallback>
              </mc:AlternateContent>
            </w:r>
          </w:p>
        </w:tc>
      </w:tr>
      <w:tr w:rsidR="002853C4" w:rsidRPr="00986DAB" w14:paraId="26482A70" w14:textId="77777777" w:rsidTr="00281997">
        <w:trPr>
          <w:trHeight w:val="377"/>
        </w:trPr>
        <w:tc>
          <w:tcPr>
            <w:tcW w:w="710" w:type="dxa"/>
            <w:vAlign w:val="center"/>
          </w:tcPr>
          <w:p w14:paraId="1FDA2572" w14:textId="77777777" w:rsidR="002853C4" w:rsidRPr="00986DAB" w:rsidRDefault="00011DDF" w:rsidP="00936402">
            <w:pPr>
              <w:jc w:val="center"/>
              <w:rPr>
                <w:rFonts w:ascii="Times New Roman" w:hAnsi="Times New Roman"/>
                <w:b/>
                <w:color w:val="002060"/>
                <w:sz w:val="24"/>
                <w:szCs w:val="24"/>
                <w:lang w:val="en-GB" w:eastAsia="uk-UA"/>
              </w:rPr>
            </w:pPr>
            <w:r w:rsidRPr="00986DAB">
              <w:rPr>
                <w:rFonts w:ascii="Times New Roman" w:hAnsi="Times New Roman"/>
                <w:b/>
                <w:color w:val="002060"/>
                <w:sz w:val="24"/>
                <w:szCs w:val="24"/>
                <w:lang w:val="en-GB" w:eastAsia="uk-UA"/>
              </w:rPr>
              <w:t>3</w:t>
            </w:r>
          </w:p>
        </w:tc>
        <w:tc>
          <w:tcPr>
            <w:tcW w:w="7371" w:type="dxa"/>
            <w:vAlign w:val="center"/>
          </w:tcPr>
          <w:p w14:paraId="0EDB3ED7" w14:textId="4A80FC21" w:rsidR="002853C4" w:rsidRPr="00986DAB" w:rsidRDefault="00E91470" w:rsidP="006D3E44">
            <w:pPr>
              <w:rPr>
                <w:rFonts w:ascii="Times New Roman" w:hAnsi="Times New Roman"/>
                <w:color w:val="002060"/>
                <w:sz w:val="24"/>
                <w:szCs w:val="24"/>
                <w:lang w:val="en-GB" w:eastAsia="uk-UA"/>
              </w:rPr>
            </w:pPr>
            <w:bookmarkStart w:id="21" w:name="_Toc204771461"/>
            <w:bookmarkStart w:id="22" w:name="_Toc208834380"/>
            <w:r>
              <w:rPr>
                <w:rFonts w:ascii="Times New Roman" w:hAnsi="Times New Roman"/>
                <w:color w:val="002060"/>
                <w:sz w:val="24"/>
                <w:szCs w:val="24"/>
                <w:lang w:val="en-GB"/>
              </w:rPr>
              <w:t>Annex</w:t>
            </w:r>
            <w:r w:rsidR="00703CBB" w:rsidRPr="00986DAB">
              <w:rPr>
                <w:rFonts w:ascii="Times New Roman" w:hAnsi="Times New Roman"/>
                <w:color w:val="002060"/>
                <w:sz w:val="24"/>
                <w:szCs w:val="24"/>
                <w:lang w:val="en-GB"/>
              </w:rPr>
              <w:t xml:space="preserve"> </w:t>
            </w:r>
            <w:r w:rsidR="00E14475" w:rsidRPr="00986DAB">
              <w:rPr>
                <w:rFonts w:ascii="Times New Roman" w:hAnsi="Times New Roman"/>
                <w:color w:val="002060"/>
                <w:sz w:val="24"/>
                <w:szCs w:val="24"/>
                <w:lang w:val="en-GB"/>
              </w:rPr>
              <w:t xml:space="preserve">C </w:t>
            </w:r>
            <w:r w:rsidR="002853C4" w:rsidRPr="00986DAB">
              <w:rPr>
                <w:rFonts w:ascii="Times New Roman" w:hAnsi="Times New Roman"/>
                <w:color w:val="002060"/>
                <w:sz w:val="24"/>
                <w:szCs w:val="24"/>
                <w:lang w:val="en-GB"/>
              </w:rPr>
              <w:t xml:space="preserve">– </w:t>
            </w:r>
            <w:r w:rsidR="00E14475" w:rsidRPr="00986DAB">
              <w:rPr>
                <w:rFonts w:ascii="Times New Roman" w:hAnsi="Times New Roman"/>
                <w:color w:val="002060"/>
                <w:sz w:val="24"/>
                <w:szCs w:val="24"/>
                <w:lang w:val="en-GB" w:eastAsia="uk-UA"/>
              </w:rPr>
              <w:t>Threshold amounts</w:t>
            </w:r>
            <w:bookmarkEnd w:id="21"/>
            <w:bookmarkEnd w:id="22"/>
          </w:p>
          <w:p w14:paraId="0C0668F8" w14:textId="77777777" w:rsidR="002853C4" w:rsidRPr="00986DAB" w:rsidRDefault="002853C4" w:rsidP="006D3E44">
            <w:pPr>
              <w:rPr>
                <w:rFonts w:ascii="Times New Roman" w:hAnsi="Times New Roman"/>
                <w:color w:val="002060"/>
                <w:sz w:val="24"/>
                <w:szCs w:val="24"/>
                <w:lang w:val="en-GB" w:eastAsia="uk-UA"/>
              </w:rPr>
            </w:pPr>
          </w:p>
        </w:tc>
        <w:bookmarkStart w:id="23" w:name="_MON_1824237619"/>
        <w:bookmarkStart w:id="24" w:name="_MON_1821375536"/>
        <w:bookmarkEnd w:id="23"/>
        <w:bookmarkEnd w:id="24"/>
        <w:bookmarkStart w:id="25" w:name="_MON_1825616386"/>
        <w:bookmarkEnd w:id="25"/>
        <w:tc>
          <w:tcPr>
            <w:tcW w:w="1701" w:type="dxa"/>
          </w:tcPr>
          <w:p w14:paraId="6CF5A1AC" w14:textId="03A3BE2D" w:rsidR="002853C4" w:rsidRPr="00986DAB" w:rsidRDefault="00B217B9" w:rsidP="00936402">
            <w:pPr>
              <w:jc w:val="center"/>
              <w:rPr>
                <w:rFonts w:ascii="Times New Roman" w:hAnsi="Times New Roman"/>
                <w:b/>
                <w:color w:val="002060"/>
                <w:sz w:val="24"/>
                <w:szCs w:val="24"/>
                <w:lang w:val="en-GB" w:eastAsia="uk-UA"/>
              </w:rPr>
            </w:pPr>
            <w:r>
              <w:rPr>
                <w:rFonts w:ascii="Times New Roman" w:hAnsi="Times New Roman" w:cs="Calibri"/>
                <w:b/>
                <w:color w:val="002060"/>
                <w:sz w:val="24"/>
                <w:szCs w:val="24"/>
                <w:lang w:val="en-GB" w:eastAsia="uk-UA"/>
              </w:rPr>
              <w:object w:dxaOrig="1520" w:dyaOrig="987" w14:anchorId="3BC369BD">
                <v:shape id="_x0000_i1027" type="#_x0000_t75" style="width:76.2pt;height:49.2pt" o:ole="">
                  <v:imagedata r:id="rId13" o:title=""/>
                </v:shape>
                <o:OLEObject Type="Embed" ProgID="Word.Document.12" ShapeID="_x0000_i1027" DrawAspect="Icon" ObjectID="_1829195657" r:id="rId14">
                  <o:FieldCodes>\s</o:FieldCodes>
                </o:OLEObject>
              </w:object>
            </w:r>
            <w:r w:rsidR="002853C4" w:rsidRPr="00986DAB">
              <w:rPr>
                <w:rFonts w:ascii="Times New Roman" w:hAnsi="Times New Roman"/>
                <w:b/>
                <w:noProof/>
                <w:color w:val="002060"/>
                <w:sz w:val="24"/>
                <w:szCs w:val="24"/>
                <w:lang w:eastAsia="uk-UA"/>
              </w:rPr>
              <mc:AlternateContent>
                <mc:Choice Requires="wps">
                  <w:drawing>
                    <wp:anchor distT="0" distB="0" distL="114300" distR="114300" simplePos="0" relativeHeight="251658240" behindDoc="0" locked="0" layoutInCell="1" allowOverlap="1" wp14:anchorId="56C782A1" wp14:editId="3EEB4051">
                      <wp:simplePos x="0" y="0"/>
                      <wp:positionH relativeFrom="column">
                        <wp:posOffset>0</wp:posOffset>
                      </wp:positionH>
                      <wp:positionV relativeFrom="paragraph">
                        <wp:posOffset>0</wp:posOffset>
                      </wp:positionV>
                      <wp:extent cx="635000" cy="635000"/>
                      <wp:effectExtent l="19050" t="19050" r="12700" b="12700"/>
                      <wp:wrapNone/>
                      <wp:docPr id="4" name="Rectangl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Rectangle 4"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A8plOQhAgAARgQAAA4AAAAAAAAAAAAAAAAALgIAAGRycy9lMm9Eb2MueG1sUEsBAi0A&#10;FAAGAAgAAAAhAOuNHvvYAAAABQEAAA8AAAAAAAAAAAAAAAAAewQAAGRycy9kb3ducmV2LnhtbFBL&#10;BQYAAAAABAAEAPMAAACABQAAAAA=&#10;" w14:anchorId="34EFEE74">
                      <v:stroke joinstyle="round"/>
                      <o:lock v:ext="edit" selection="t"/>
                    </v:rect>
                  </w:pict>
                </mc:Fallback>
              </mc:AlternateContent>
            </w:r>
          </w:p>
        </w:tc>
      </w:tr>
      <w:tr w:rsidR="00011DDF" w:rsidRPr="00986DAB" w14:paraId="0F6C7E71" w14:textId="77777777" w:rsidTr="00281997">
        <w:tc>
          <w:tcPr>
            <w:tcW w:w="710" w:type="dxa"/>
            <w:vAlign w:val="center"/>
          </w:tcPr>
          <w:p w14:paraId="3990D458" w14:textId="77777777" w:rsidR="00011DDF" w:rsidRPr="00986DAB" w:rsidRDefault="00011DDF" w:rsidP="00936402">
            <w:pPr>
              <w:jc w:val="center"/>
              <w:rPr>
                <w:rFonts w:ascii="Times New Roman" w:hAnsi="Times New Roman"/>
                <w:b/>
                <w:color w:val="002060"/>
                <w:sz w:val="24"/>
                <w:szCs w:val="24"/>
                <w:lang w:val="en-GB" w:eastAsia="uk-UA"/>
              </w:rPr>
            </w:pPr>
            <w:r w:rsidRPr="00986DAB">
              <w:rPr>
                <w:rFonts w:ascii="Times New Roman" w:hAnsi="Times New Roman"/>
                <w:b/>
                <w:color w:val="002060"/>
                <w:sz w:val="24"/>
                <w:szCs w:val="24"/>
                <w:lang w:val="en-GB" w:eastAsia="uk-UA"/>
              </w:rPr>
              <w:t>4</w:t>
            </w:r>
          </w:p>
        </w:tc>
        <w:tc>
          <w:tcPr>
            <w:tcW w:w="7371" w:type="dxa"/>
            <w:vAlign w:val="center"/>
          </w:tcPr>
          <w:p w14:paraId="042EFCA7" w14:textId="2829AE96" w:rsidR="00011DDF" w:rsidRPr="00986DAB" w:rsidRDefault="00E91470" w:rsidP="006D3E44">
            <w:pPr>
              <w:rPr>
                <w:rFonts w:ascii="Times New Roman" w:hAnsi="Times New Roman"/>
                <w:color w:val="002060"/>
                <w:sz w:val="24"/>
                <w:szCs w:val="24"/>
                <w:lang w:val="en-GB"/>
              </w:rPr>
            </w:pPr>
            <w:r>
              <w:rPr>
                <w:rFonts w:ascii="Times New Roman" w:hAnsi="Times New Roman"/>
                <w:color w:val="002060"/>
                <w:sz w:val="24"/>
                <w:szCs w:val="24"/>
                <w:lang w:val="en-GB"/>
              </w:rPr>
              <w:t>Annex</w:t>
            </w:r>
            <w:r w:rsidR="00703CBB" w:rsidRPr="00986DAB">
              <w:rPr>
                <w:rFonts w:ascii="Times New Roman" w:hAnsi="Times New Roman"/>
                <w:color w:val="002060"/>
                <w:sz w:val="24"/>
                <w:szCs w:val="24"/>
                <w:lang w:val="en-GB"/>
              </w:rPr>
              <w:t xml:space="preserve"> D </w:t>
            </w:r>
            <w:r w:rsidR="00E14475" w:rsidRPr="00986DAB">
              <w:rPr>
                <w:rFonts w:ascii="Times New Roman" w:hAnsi="Times New Roman"/>
                <w:color w:val="002060"/>
                <w:sz w:val="24"/>
                <w:szCs w:val="24"/>
                <w:lang w:val="en-GB"/>
              </w:rPr>
              <w:t xml:space="preserve">– </w:t>
            </w:r>
            <w:r w:rsidR="00902CF2" w:rsidRPr="00902CF2">
              <w:rPr>
                <w:rFonts w:ascii="Times New Roman" w:eastAsia="Times New Roman" w:hAnsi="Times New Roman"/>
                <w:bCs/>
                <w:color w:val="002060"/>
                <w:sz w:val="24"/>
                <w:szCs w:val="24"/>
                <w:lang w:val="en-GB" w:eastAsia="el-GR"/>
              </w:rPr>
              <w:t>Client and Characteristics Description and Assessment Form</w:t>
            </w:r>
          </w:p>
        </w:tc>
        <w:tc>
          <w:tcPr>
            <w:tcW w:w="1701" w:type="dxa"/>
          </w:tcPr>
          <w:p w14:paraId="199F4D7D" w14:textId="4071A641" w:rsidR="00011DDF" w:rsidRPr="00986DAB" w:rsidRDefault="00B217B9" w:rsidP="00936402">
            <w:pPr>
              <w:jc w:val="center"/>
              <w:rPr>
                <w:rFonts w:ascii="Times New Roman" w:eastAsia="Times New Roman" w:hAnsi="Times New Roman"/>
                <w:b/>
                <w:color w:val="002060"/>
                <w:sz w:val="24"/>
                <w:szCs w:val="24"/>
                <w:lang w:val="en-GB" w:eastAsia="uk-UA"/>
              </w:rPr>
            </w:pPr>
            <w:r>
              <w:rPr>
                <w:rFonts w:ascii="Times New Roman" w:eastAsia="Times New Roman" w:hAnsi="Times New Roman" w:cs="Calibri"/>
                <w:b/>
                <w:color w:val="002060"/>
                <w:sz w:val="24"/>
                <w:szCs w:val="24"/>
                <w:lang w:val="en-GB" w:eastAsia="uk-UA"/>
              </w:rPr>
              <w:object w:dxaOrig="1520" w:dyaOrig="987" w14:anchorId="6303D258">
                <v:shape id="_x0000_i1028" type="#_x0000_t75" style="width:76.2pt;height:49.2pt" o:ole="">
                  <v:imagedata r:id="rId15" o:title=""/>
                </v:shape>
                <o:OLEObject Type="Embed" ProgID="Excel.Sheet.12" ShapeID="_x0000_i1028" DrawAspect="Icon" ObjectID="_1829195658" r:id="rId16"/>
              </w:object>
            </w:r>
          </w:p>
        </w:tc>
      </w:tr>
      <w:tr w:rsidR="00703CBB" w:rsidRPr="00986DAB" w14:paraId="569EAE17" w14:textId="77777777" w:rsidTr="00281997">
        <w:tc>
          <w:tcPr>
            <w:tcW w:w="710" w:type="dxa"/>
            <w:vAlign w:val="center"/>
          </w:tcPr>
          <w:p w14:paraId="503B7A35" w14:textId="77777777" w:rsidR="00703CBB" w:rsidRPr="00986DAB" w:rsidRDefault="00703CBB" w:rsidP="00936402">
            <w:pPr>
              <w:jc w:val="center"/>
              <w:rPr>
                <w:rFonts w:ascii="Times New Roman" w:hAnsi="Times New Roman"/>
                <w:b/>
                <w:color w:val="002060"/>
                <w:sz w:val="24"/>
                <w:szCs w:val="24"/>
                <w:lang w:val="en-GB" w:eastAsia="uk-UA"/>
              </w:rPr>
            </w:pPr>
            <w:r w:rsidRPr="00986DAB">
              <w:rPr>
                <w:rFonts w:ascii="Times New Roman" w:hAnsi="Times New Roman"/>
                <w:b/>
                <w:color w:val="002060"/>
                <w:sz w:val="24"/>
                <w:szCs w:val="24"/>
                <w:lang w:val="en-GB" w:eastAsia="uk-UA"/>
              </w:rPr>
              <w:t>5</w:t>
            </w:r>
          </w:p>
        </w:tc>
        <w:tc>
          <w:tcPr>
            <w:tcW w:w="7371" w:type="dxa"/>
            <w:vAlign w:val="center"/>
          </w:tcPr>
          <w:p w14:paraId="14CC3632" w14:textId="59938B14" w:rsidR="00703CBB" w:rsidRPr="00986DAB" w:rsidRDefault="00E91470" w:rsidP="006D3E44">
            <w:pPr>
              <w:rPr>
                <w:rFonts w:ascii="Times New Roman" w:hAnsi="Times New Roman"/>
                <w:color w:val="002060"/>
                <w:sz w:val="24"/>
                <w:szCs w:val="24"/>
                <w:lang w:val="en-GB"/>
              </w:rPr>
            </w:pPr>
            <w:r>
              <w:rPr>
                <w:rFonts w:ascii="Times New Roman" w:hAnsi="Times New Roman"/>
                <w:color w:val="002060"/>
                <w:sz w:val="24"/>
                <w:szCs w:val="24"/>
                <w:lang w:val="en-GB"/>
              </w:rPr>
              <w:t>Annex</w:t>
            </w:r>
            <w:r w:rsidR="00703CBB" w:rsidRPr="00986DAB">
              <w:rPr>
                <w:rFonts w:ascii="Times New Roman" w:hAnsi="Times New Roman"/>
                <w:color w:val="002060"/>
                <w:sz w:val="24"/>
                <w:szCs w:val="24"/>
                <w:lang w:val="en-GB"/>
              </w:rPr>
              <w:t xml:space="preserve"> E </w:t>
            </w:r>
            <w:r w:rsidR="00E14475" w:rsidRPr="00986DAB">
              <w:rPr>
                <w:rFonts w:ascii="Times New Roman" w:hAnsi="Times New Roman"/>
                <w:color w:val="002060"/>
                <w:sz w:val="24"/>
                <w:szCs w:val="24"/>
                <w:lang w:val="en-GB"/>
              </w:rPr>
              <w:t>– ESG risk assessment matrix</w:t>
            </w:r>
          </w:p>
        </w:tc>
        <w:tc>
          <w:tcPr>
            <w:tcW w:w="1701" w:type="dxa"/>
          </w:tcPr>
          <w:p w14:paraId="7947E810" w14:textId="0401A0B3" w:rsidR="00703CBB" w:rsidRPr="00986DAB" w:rsidRDefault="00B6051C" w:rsidP="00936402">
            <w:pPr>
              <w:jc w:val="center"/>
              <w:rPr>
                <w:rFonts w:ascii="Times New Roman" w:eastAsia="Times New Roman" w:hAnsi="Times New Roman"/>
                <w:b/>
                <w:color w:val="002060"/>
                <w:sz w:val="24"/>
                <w:szCs w:val="24"/>
                <w:lang w:val="en-GB" w:eastAsia="uk-UA"/>
              </w:rPr>
            </w:pPr>
            <w:r>
              <w:rPr>
                <w:rFonts w:ascii="Times New Roman" w:eastAsia="Times New Roman" w:hAnsi="Times New Roman" w:cs="Calibri"/>
                <w:b/>
                <w:color w:val="002060"/>
                <w:sz w:val="24"/>
                <w:szCs w:val="24"/>
                <w:lang w:val="en-GB" w:eastAsia="uk-UA"/>
              </w:rPr>
              <w:object w:dxaOrig="1520" w:dyaOrig="987" w14:anchorId="029A89A6">
                <v:shape id="_x0000_i1033" type="#_x0000_t75" style="width:76.2pt;height:49.2pt" o:ole="">
                  <v:imagedata r:id="rId17" o:title=""/>
                </v:shape>
                <o:OLEObject Type="Embed" ProgID="Excel.Sheet.12" ShapeID="_x0000_i1033" DrawAspect="Icon" ObjectID="_1829195659" r:id="rId18"/>
              </w:object>
            </w:r>
          </w:p>
        </w:tc>
      </w:tr>
    </w:tbl>
    <w:p w14:paraId="208980FF" w14:textId="77777777" w:rsidR="002853C4" w:rsidRPr="00986DAB" w:rsidRDefault="00285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Times New Roman" w:hAnsi="Times New Roman" w:cs="Times New Roman"/>
          <w:bCs/>
          <w:i/>
          <w:color w:val="002060"/>
          <w:sz w:val="24"/>
          <w:szCs w:val="24"/>
          <w:lang w:val="en-GB" w:eastAsia="el-GR"/>
        </w:rPr>
      </w:pPr>
      <w:bookmarkStart w:id="26" w:name="_GoBack"/>
      <w:bookmarkEnd w:id="26"/>
    </w:p>
    <w:sectPr w:rsidR="002853C4" w:rsidRPr="00986DAB" w:rsidSect="00C038EF">
      <w:headerReference w:type="default" r:id="rId19"/>
      <w:footerReference w:type="default" r:id="rId20"/>
      <w:headerReference w:type="first" r:id="rId21"/>
      <w:pgSz w:w="11906" w:h="16838"/>
      <w:pgMar w:top="96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8FAE0" w14:textId="77777777" w:rsidR="003B64A4" w:rsidRDefault="003B64A4">
      <w:pPr>
        <w:spacing w:after="0" w:line="240" w:lineRule="auto"/>
      </w:pPr>
      <w:r>
        <w:separator/>
      </w:r>
    </w:p>
  </w:endnote>
  <w:endnote w:type="continuationSeparator" w:id="0">
    <w:p w14:paraId="3D895CFA" w14:textId="77777777" w:rsidR="003B64A4" w:rsidRDefault="003B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00723"/>
      <w:docPartObj>
        <w:docPartGallery w:val="Page Numbers (Bottom of Page)"/>
        <w:docPartUnique/>
      </w:docPartObj>
    </w:sdtPr>
    <w:sdtEndPr>
      <w:rPr>
        <w:noProof/>
        <w:color w:val="002060"/>
      </w:rPr>
    </w:sdtEndPr>
    <w:sdtContent>
      <w:p w14:paraId="58231706" w14:textId="665A6E28" w:rsidR="003B64A4" w:rsidRPr="00206DAE" w:rsidRDefault="003B64A4">
        <w:pPr>
          <w:pStyle w:val="Footer"/>
          <w:jc w:val="right"/>
          <w:rPr>
            <w:color w:val="002060"/>
          </w:rPr>
        </w:pPr>
        <w:r w:rsidRPr="00206DAE">
          <w:rPr>
            <w:color w:val="002060"/>
          </w:rPr>
          <w:fldChar w:fldCharType="begin"/>
        </w:r>
        <w:r w:rsidRPr="00206DAE">
          <w:rPr>
            <w:color w:val="002060"/>
          </w:rPr>
          <w:instrText xml:space="preserve"> PAGE   \* MERGEFORMAT </w:instrText>
        </w:r>
        <w:r w:rsidRPr="00206DAE">
          <w:rPr>
            <w:color w:val="002060"/>
          </w:rPr>
          <w:fldChar w:fldCharType="separate"/>
        </w:r>
        <w:r w:rsidR="00B6051C">
          <w:rPr>
            <w:noProof/>
            <w:color w:val="002060"/>
          </w:rPr>
          <w:t>14</w:t>
        </w:r>
        <w:r w:rsidRPr="00206DAE">
          <w:rPr>
            <w:noProof/>
            <w:color w:val="002060"/>
          </w:rPr>
          <w:fldChar w:fldCharType="end"/>
        </w:r>
      </w:p>
    </w:sdtContent>
  </w:sdt>
  <w:p w14:paraId="55372C40" w14:textId="77777777" w:rsidR="003B64A4" w:rsidRDefault="003B6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04763" w14:textId="77777777" w:rsidR="003B64A4" w:rsidRDefault="003B64A4">
      <w:pPr>
        <w:spacing w:after="0" w:line="240" w:lineRule="auto"/>
      </w:pPr>
      <w:r>
        <w:separator/>
      </w:r>
    </w:p>
  </w:footnote>
  <w:footnote w:type="continuationSeparator" w:id="0">
    <w:p w14:paraId="3B5EE56D" w14:textId="77777777" w:rsidR="003B64A4" w:rsidRDefault="003B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106832"/>
      <w:docPartObj>
        <w:docPartGallery w:val="Page Numbers (Top of Page)"/>
        <w:docPartUnique/>
      </w:docPartObj>
    </w:sdtPr>
    <w:sdtEndPr/>
    <w:sdtContent>
      <w:p w14:paraId="52127111" w14:textId="18445BD0" w:rsidR="003B64A4" w:rsidRDefault="003B64A4">
        <w:pPr>
          <w:pStyle w:val="Header"/>
          <w:jc w:val="center"/>
          <w:rPr>
            <w:rFonts w:ascii="Times New Roman" w:hAnsi="Times New Roman" w:cs="Times New Roman"/>
            <w:color w:val="1F497D"/>
            <w:sz w:val="24"/>
            <w:szCs w:val="24"/>
            <w:lang w:eastAsia="el-GR"/>
          </w:rPr>
        </w:pPr>
        <w:r>
          <w:rPr>
            <w:rFonts w:ascii="Times New Roman" w:hAnsi="Times New Roman" w:cs="Times New Roman"/>
            <w:color w:val="1F497D"/>
            <w:sz w:val="24"/>
            <w:szCs w:val="24"/>
            <w:lang w:eastAsia="el-GR"/>
          </w:rPr>
          <w:fldChar w:fldCharType="begin"/>
        </w:r>
        <w:r>
          <w:rPr>
            <w:rFonts w:ascii="Times New Roman" w:hAnsi="Times New Roman" w:cs="Times New Roman"/>
            <w:color w:val="1F497D"/>
            <w:sz w:val="24"/>
            <w:szCs w:val="24"/>
            <w:lang w:eastAsia="el-GR"/>
          </w:rPr>
          <w:instrText>PAGE   \* MERGEFORMAT</w:instrText>
        </w:r>
        <w:r>
          <w:rPr>
            <w:rFonts w:ascii="Times New Roman" w:hAnsi="Times New Roman" w:cs="Times New Roman"/>
            <w:color w:val="1F497D"/>
            <w:sz w:val="24"/>
            <w:szCs w:val="24"/>
            <w:lang w:eastAsia="el-GR"/>
          </w:rPr>
          <w:fldChar w:fldCharType="separate"/>
        </w:r>
        <w:r w:rsidR="00B6051C">
          <w:rPr>
            <w:rFonts w:ascii="Times New Roman" w:hAnsi="Times New Roman" w:cs="Times New Roman"/>
            <w:noProof/>
            <w:color w:val="1F497D"/>
            <w:sz w:val="24"/>
            <w:szCs w:val="24"/>
            <w:lang w:eastAsia="el-GR"/>
          </w:rPr>
          <w:t>14</w:t>
        </w:r>
        <w:r>
          <w:rPr>
            <w:rFonts w:ascii="Times New Roman" w:hAnsi="Times New Roman" w:cs="Times New Roman"/>
            <w:color w:val="1F497D"/>
            <w:sz w:val="24"/>
            <w:szCs w:val="24"/>
            <w:lang w:eastAsia="el-GR"/>
          </w:rPr>
          <w:fldChar w:fldCharType="end"/>
        </w:r>
      </w:p>
      <w:tbl>
        <w:tblPr>
          <w:tblStyle w:val="TableGrid"/>
          <w:tblW w:w="9493" w:type="dxa"/>
          <w:jc w:val="center"/>
          <w:tblLook w:val="04A0" w:firstRow="1" w:lastRow="0" w:firstColumn="1" w:lastColumn="0" w:noHBand="0" w:noVBand="1"/>
        </w:tblPr>
        <w:tblGrid>
          <w:gridCol w:w="2122"/>
          <w:gridCol w:w="5811"/>
          <w:gridCol w:w="1560"/>
        </w:tblGrid>
        <w:tr w:rsidR="003B64A4" w14:paraId="38BBC4C0" w14:textId="77777777">
          <w:trPr>
            <w:trHeight w:val="289"/>
            <w:jc w:val="center"/>
          </w:trPr>
          <w:tc>
            <w:tcPr>
              <w:tcW w:w="2122" w:type="dxa"/>
              <w:vMerge w:val="restart"/>
            </w:tcPr>
            <w:p w14:paraId="28887291" w14:textId="77777777" w:rsidR="003B64A4" w:rsidRDefault="003B64A4">
              <w:r>
                <w:rPr>
                  <w:rFonts w:ascii="Arial" w:eastAsia="Times New Roman" w:hAnsi="Arial" w:cs="Arial"/>
                  <w:b/>
                  <w:bCs/>
                  <w:noProof/>
                  <w:color w:val="002060"/>
                  <w:sz w:val="20"/>
                  <w:lang w:eastAsia="uk-UA"/>
                </w:rPr>
                <w:drawing>
                  <wp:inline distT="0" distB="0" distL="0" distR="0" wp14:anchorId="677DC11D" wp14:editId="5E665F42">
                    <wp:extent cx="1028700" cy="349250"/>
                    <wp:effectExtent l="19050" t="0" r="0" b="0"/>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5"/>
                            <pic:cNvPicPr>
                              <a:picLocks noChangeAspect="1"/>
                            </pic:cNvPicPr>
                          </pic:nvPicPr>
                          <pic:blipFill>
                            <a:blip r:embed="rId1"/>
                            <a:srcRect l="6847" t="12820" r="21317" b="17075"/>
                            <a:stretch/>
                          </pic:blipFill>
                          <pic:spPr bwMode="auto">
                            <a:xfrm>
                              <a:off x="0" y="0"/>
                              <a:ext cx="1028700" cy="349250"/>
                            </a:xfrm>
                            <a:prstGeom prst="rect">
                              <a:avLst/>
                            </a:prstGeom>
                            <a:noFill/>
                            <a:ln w="9525">
                              <a:noFill/>
                              <a:miter lim="800000"/>
                              <a:headEnd/>
                              <a:tailEnd/>
                            </a:ln>
                          </pic:spPr>
                        </pic:pic>
                      </a:graphicData>
                    </a:graphic>
                  </wp:inline>
                </w:drawing>
              </w:r>
            </w:p>
          </w:tc>
          <w:tc>
            <w:tcPr>
              <w:tcW w:w="5811" w:type="dxa"/>
            </w:tcPr>
            <w:p w14:paraId="159FF2E7" w14:textId="12E6E2AB" w:rsidR="003B64A4" w:rsidRPr="0008078C" w:rsidRDefault="003B64A4" w:rsidP="00AB6D68">
              <w:pPr>
                <w:ind w:left="-186"/>
                <w:jc w:val="center"/>
                <w:rPr>
                  <w:rFonts w:ascii="Times New Roman" w:hAnsi="Times New Roman"/>
                  <w:color w:val="002060"/>
                  <w:sz w:val="24"/>
                  <w:szCs w:val="24"/>
                  <w:lang w:val="en-GB" w:eastAsia="el-GR"/>
                </w:rPr>
              </w:pPr>
              <w:r w:rsidRPr="0008078C">
                <w:rPr>
                  <w:rFonts w:ascii="Times New Roman" w:hAnsi="Times New Roman"/>
                  <w:color w:val="1F497D"/>
                  <w:sz w:val="24"/>
                  <w:szCs w:val="24"/>
                  <w:lang w:val="en-GB" w:eastAsia="el-GR"/>
                </w:rPr>
                <w:t xml:space="preserve"> Risk Management Division</w:t>
              </w:r>
            </w:p>
          </w:tc>
          <w:tc>
            <w:tcPr>
              <w:tcW w:w="1560" w:type="dxa"/>
              <w:vMerge w:val="restart"/>
            </w:tcPr>
            <w:p w14:paraId="343653AC" w14:textId="77777777" w:rsidR="003B64A4" w:rsidRDefault="003B64A4">
              <w:pPr>
                <w:rPr>
                  <w:rFonts w:ascii="Arial" w:hAnsi="Arial" w:cs="Arial"/>
                  <w:sz w:val="20"/>
                  <w:szCs w:val="20"/>
                </w:rPr>
              </w:pPr>
            </w:p>
            <w:p w14:paraId="51A5CD26" w14:textId="77777777" w:rsidR="00294AA0" w:rsidRDefault="003B64A4">
              <w:pPr>
                <w:ind w:left="-186"/>
                <w:jc w:val="center"/>
                <w:rPr>
                  <w:rFonts w:ascii="Arial" w:hAnsi="Arial" w:cs="Arial"/>
                  <w:sz w:val="20"/>
                  <w:szCs w:val="20"/>
                  <w:lang w:val="en-GB"/>
                </w:rPr>
              </w:pPr>
              <w:r>
                <w:rPr>
                  <w:rFonts w:ascii="Arial" w:hAnsi="Arial" w:cs="Arial"/>
                  <w:sz w:val="20"/>
                  <w:szCs w:val="20"/>
                </w:rPr>
                <w:t xml:space="preserve">   </w:t>
              </w:r>
              <w:r w:rsidRPr="0008078C">
                <w:rPr>
                  <w:rFonts w:ascii="Times New Roman" w:hAnsi="Times New Roman"/>
                  <w:color w:val="1F497D"/>
                  <w:sz w:val="24"/>
                  <w:szCs w:val="24"/>
                  <w:lang w:val="en-GB" w:eastAsia="el-GR"/>
                </w:rPr>
                <w:t>Version code</w:t>
              </w:r>
              <w:r w:rsidRPr="0008078C">
                <w:rPr>
                  <w:rFonts w:ascii="Arial" w:hAnsi="Arial" w:cs="Arial"/>
                  <w:sz w:val="20"/>
                  <w:szCs w:val="20"/>
                  <w:lang w:val="en-GB"/>
                </w:rPr>
                <w:t>:</w:t>
              </w:r>
            </w:p>
            <w:p w14:paraId="2334B977" w14:textId="512D6A17" w:rsidR="003B64A4" w:rsidRPr="0008078C" w:rsidRDefault="00294AA0">
              <w:pPr>
                <w:ind w:left="-186"/>
                <w:jc w:val="center"/>
                <w:rPr>
                  <w:rFonts w:ascii="Arial" w:hAnsi="Arial" w:cs="Arial"/>
                  <w:sz w:val="20"/>
                  <w:szCs w:val="20"/>
                  <w:lang w:val="en-GB"/>
                </w:rPr>
              </w:pPr>
              <w:r>
                <w:rPr>
                  <w:rFonts w:ascii="Times New Roman" w:hAnsi="Times New Roman"/>
                  <w:color w:val="1F497D"/>
                  <w:sz w:val="24"/>
                  <w:szCs w:val="24"/>
                  <w:lang w:val="en-GB" w:eastAsia="el-GR"/>
                </w:rPr>
                <w:t>1196</w:t>
              </w:r>
              <w:r w:rsidR="003B64A4" w:rsidRPr="0008078C">
                <w:rPr>
                  <w:rFonts w:ascii="Arial" w:hAnsi="Arial" w:cs="Arial"/>
                  <w:sz w:val="20"/>
                  <w:szCs w:val="20"/>
                  <w:lang w:val="en-GB"/>
                </w:rPr>
                <w:t xml:space="preserve"> </w:t>
              </w:r>
            </w:p>
          </w:tc>
        </w:tr>
        <w:tr w:rsidR="003B64A4" w14:paraId="731D1726" w14:textId="77777777">
          <w:trPr>
            <w:trHeight w:val="470"/>
            <w:jc w:val="center"/>
          </w:trPr>
          <w:tc>
            <w:tcPr>
              <w:tcW w:w="2122" w:type="dxa"/>
              <w:vMerge/>
              <w:tcBorders>
                <w:bottom w:val="single" w:sz="4" w:space="0" w:color="000000"/>
              </w:tcBorders>
            </w:tcPr>
            <w:p w14:paraId="1677CE46" w14:textId="77777777" w:rsidR="003B64A4" w:rsidRDefault="003B64A4"/>
          </w:tc>
          <w:tc>
            <w:tcPr>
              <w:tcW w:w="5811" w:type="dxa"/>
              <w:tcBorders>
                <w:bottom w:val="single" w:sz="4" w:space="0" w:color="000000"/>
              </w:tcBorders>
              <w:vAlign w:val="center"/>
            </w:tcPr>
            <w:p w14:paraId="0D3102B6" w14:textId="02DF4E74" w:rsidR="003B64A4" w:rsidRDefault="003B64A4" w:rsidP="00294AA0">
              <w:pPr>
                <w:ind w:left="-105"/>
                <w:jc w:val="center"/>
                <w:rPr>
                  <w:rFonts w:ascii="Times New Roman" w:hAnsi="Times New Roman"/>
                  <w:color w:val="1F497D"/>
                  <w:sz w:val="24"/>
                  <w:szCs w:val="24"/>
                  <w:lang w:val="uk-UA" w:eastAsia="el-GR"/>
                </w:rPr>
              </w:pPr>
              <w:r w:rsidRPr="00986DAB">
                <w:rPr>
                  <w:rFonts w:ascii="Times New Roman" w:hAnsi="Times New Roman"/>
                  <w:color w:val="002060"/>
                  <w:sz w:val="24"/>
                  <w:szCs w:val="24"/>
                  <w:lang w:val="en-GB"/>
                </w:rPr>
                <w:t xml:space="preserve">Environmental, Social and Governance Risks </w:t>
              </w:r>
              <w:r w:rsidR="001A2FC1">
                <w:rPr>
                  <w:rFonts w:ascii="Times New Roman" w:hAnsi="Times New Roman"/>
                  <w:color w:val="002060"/>
                  <w:sz w:val="24"/>
                  <w:szCs w:val="24"/>
                  <w:lang w:val="en-GB"/>
                </w:rPr>
                <w:t xml:space="preserve">Management </w:t>
              </w:r>
              <w:r>
                <w:rPr>
                  <w:rFonts w:ascii="Times New Roman" w:hAnsi="Times New Roman"/>
                  <w:color w:val="002060"/>
                  <w:sz w:val="24"/>
                  <w:szCs w:val="24"/>
                  <w:lang w:val="en-GB"/>
                </w:rPr>
                <w:t>P</w:t>
              </w:r>
              <w:r w:rsidRPr="00986DAB">
                <w:rPr>
                  <w:rFonts w:ascii="Times New Roman" w:hAnsi="Times New Roman"/>
                  <w:color w:val="002060"/>
                  <w:sz w:val="24"/>
                  <w:szCs w:val="24"/>
                  <w:lang w:val="en-GB"/>
                </w:rPr>
                <w:t xml:space="preserve">olicy at </w:t>
              </w:r>
              <w:r w:rsidRPr="00AB6D68">
                <w:rPr>
                  <w:rFonts w:ascii="Times New Roman" w:hAnsi="Times New Roman"/>
                  <w:color w:val="1F497D"/>
                  <w:sz w:val="24"/>
                  <w:szCs w:val="24"/>
                  <w:lang w:val="uk-UA" w:eastAsia="el-GR"/>
                </w:rPr>
                <w:t>JSC "PIRAEUS BANK ICB"</w:t>
              </w:r>
            </w:p>
          </w:tc>
          <w:tc>
            <w:tcPr>
              <w:tcW w:w="1560" w:type="dxa"/>
              <w:vMerge/>
              <w:tcBorders>
                <w:bottom w:val="single" w:sz="4" w:space="0" w:color="000000"/>
              </w:tcBorders>
            </w:tcPr>
            <w:p w14:paraId="2C41CB32" w14:textId="514A8450" w:rsidR="003B64A4" w:rsidRPr="00991C8D" w:rsidRDefault="003B64A4">
              <w:pPr>
                <w:rPr>
                  <w:lang w:val="en-US"/>
                </w:rPr>
              </w:pPr>
            </w:p>
          </w:tc>
        </w:tr>
      </w:tbl>
      <w:p w14:paraId="3E0E12C7" w14:textId="77777777" w:rsidR="003B64A4" w:rsidRDefault="00B6051C">
        <w:pPr>
          <w:pStyle w:val="Header"/>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97A7" w14:textId="77777777" w:rsidR="003B64A4" w:rsidRDefault="003B64A4">
    <w:pPr>
      <w:pStyle w:val="Header"/>
      <w:jc w:val="center"/>
      <w:rPr>
        <w:rFonts w:ascii="Times New Roman" w:hAnsi="Times New Roman" w:cs="Times New Roman"/>
        <w:i/>
        <w:color w:val="2E74B5" w:themeColor="accent1" w:themeShade="BF"/>
        <w:sz w:val="24"/>
        <w:szCs w:val="24"/>
      </w:rPr>
    </w:pPr>
    <w:r>
      <w:rPr>
        <w:rFonts w:ascii="Times New Roman" w:hAnsi="Times New Roman" w:cs="Times New Roman"/>
        <w:i/>
        <w:color w:val="2E74B5" w:themeColor="accent1" w:themeShade="BF"/>
        <w:sz w:val="24"/>
        <w:szCs w:val="24"/>
      </w:rPr>
      <w:t>Title page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A52"/>
    <w:multiLevelType w:val="hybridMultilevel"/>
    <w:tmpl w:val="A30EEA16"/>
    <w:lvl w:ilvl="0" w:tplc="5C385C28">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F35DF1"/>
    <w:multiLevelType w:val="hybridMultilevel"/>
    <w:tmpl w:val="57F02884"/>
    <w:lvl w:ilvl="0" w:tplc="5C385C28">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EC5283"/>
    <w:multiLevelType w:val="hybridMultilevel"/>
    <w:tmpl w:val="4B3EE418"/>
    <w:lvl w:ilvl="0" w:tplc="5C385C28">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B622411"/>
    <w:multiLevelType w:val="hybridMultilevel"/>
    <w:tmpl w:val="980C6FA8"/>
    <w:lvl w:ilvl="0" w:tplc="040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1BC925FF"/>
    <w:multiLevelType w:val="hybridMultilevel"/>
    <w:tmpl w:val="A61C16A2"/>
    <w:lvl w:ilvl="0" w:tplc="A776F6B0">
      <w:start w:val="1"/>
      <w:numFmt w:val="decimal"/>
      <w:lvlText w:val="%1."/>
      <w:lvlJc w:val="left"/>
      <w:pPr>
        <w:ind w:left="927" w:hanging="360"/>
      </w:pPr>
      <w:rPr>
        <w:rFonts w:hint="default"/>
      </w:rPr>
    </w:lvl>
    <w:lvl w:ilvl="1" w:tplc="55FAB610">
      <w:start w:val="1"/>
      <w:numFmt w:val="lowerLetter"/>
      <w:lvlText w:val="%2."/>
      <w:lvlJc w:val="left"/>
      <w:pPr>
        <w:ind w:left="1647" w:hanging="360"/>
      </w:pPr>
    </w:lvl>
    <w:lvl w:ilvl="2" w:tplc="F412E424">
      <w:start w:val="1"/>
      <w:numFmt w:val="lowerRoman"/>
      <w:lvlText w:val="%3."/>
      <w:lvlJc w:val="right"/>
      <w:pPr>
        <w:ind w:left="2367" w:hanging="180"/>
      </w:pPr>
    </w:lvl>
    <w:lvl w:ilvl="3" w:tplc="B8D8E41E">
      <w:start w:val="1"/>
      <w:numFmt w:val="decimal"/>
      <w:lvlText w:val="%4."/>
      <w:lvlJc w:val="left"/>
      <w:pPr>
        <w:ind w:left="3087" w:hanging="360"/>
      </w:pPr>
    </w:lvl>
    <w:lvl w:ilvl="4" w:tplc="1054A738">
      <w:start w:val="1"/>
      <w:numFmt w:val="lowerLetter"/>
      <w:lvlText w:val="%5."/>
      <w:lvlJc w:val="left"/>
      <w:pPr>
        <w:ind w:left="3807" w:hanging="360"/>
      </w:pPr>
    </w:lvl>
    <w:lvl w:ilvl="5" w:tplc="96A49CE0">
      <w:start w:val="1"/>
      <w:numFmt w:val="lowerRoman"/>
      <w:lvlText w:val="%6."/>
      <w:lvlJc w:val="right"/>
      <w:pPr>
        <w:ind w:left="4527" w:hanging="180"/>
      </w:pPr>
    </w:lvl>
    <w:lvl w:ilvl="6" w:tplc="EA88F600">
      <w:start w:val="1"/>
      <w:numFmt w:val="decimal"/>
      <w:lvlText w:val="%7."/>
      <w:lvlJc w:val="left"/>
      <w:pPr>
        <w:ind w:left="5247" w:hanging="360"/>
      </w:pPr>
    </w:lvl>
    <w:lvl w:ilvl="7" w:tplc="DE18B918">
      <w:start w:val="1"/>
      <w:numFmt w:val="lowerLetter"/>
      <w:lvlText w:val="%8."/>
      <w:lvlJc w:val="left"/>
      <w:pPr>
        <w:ind w:left="5967" w:hanging="360"/>
      </w:pPr>
    </w:lvl>
    <w:lvl w:ilvl="8" w:tplc="845C534C">
      <w:start w:val="1"/>
      <w:numFmt w:val="lowerRoman"/>
      <w:lvlText w:val="%9."/>
      <w:lvlJc w:val="right"/>
      <w:pPr>
        <w:ind w:left="6687" w:hanging="180"/>
      </w:pPr>
    </w:lvl>
  </w:abstractNum>
  <w:abstractNum w:abstractNumId="5" w15:restartNumberingAfterBreak="0">
    <w:nsid w:val="1D53366F"/>
    <w:multiLevelType w:val="multilevel"/>
    <w:tmpl w:val="E076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95629"/>
    <w:multiLevelType w:val="hybridMultilevel"/>
    <w:tmpl w:val="736C4FD8"/>
    <w:lvl w:ilvl="0" w:tplc="12BE6F6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D90817"/>
    <w:multiLevelType w:val="multilevel"/>
    <w:tmpl w:val="32763970"/>
    <w:lvl w:ilvl="0">
      <w:start w:val="1"/>
      <w:numFmt w:val="decimal"/>
      <w:lvlText w:val="%1."/>
      <w:lvlJc w:val="left"/>
      <w:pPr>
        <w:ind w:left="1182" w:hanging="360"/>
      </w:pPr>
      <w:rPr>
        <w:rFonts w:hint="default"/>
        <w:sz w:val="20"/>
        <w:szCs w:val="20"/>
      </w:rPr>
    </w:lvl>
    <w:lvl w:ilvl="1">
      <w:start w:val="1"/>
      <w:numFmt w:val="decimal"/>
      <w:isLgl/>
      <w:lvlText w:val="%1.%2."/>
      <w:lvlJc w:val="left"/>
      <w:pPr>
        <w:ind w:left="1429" w:hanging="720"/>
      </w:pPr>
      <w:rPr>
        <w:rFonts w:ascii="Arial" w:hAnsi="Arial" w:cs="Arial" w:hint="default"/>
        <w:b/>
        <w:sz w:val="20"/>
        <w:szCs w:val="20"/>
      </w:rPr>
    </w:lvl>
    <w:lvl w:ilvl="2">
      <w:start w:val="1"/>
      <w:numFmt w:val="decimal"/>
      <w:isLgl/>
      <w:lvlText w:val="%1.%2.%3."/>
      <w:lvlJc w:val="left"/>
      <w:pPr>
        <w:ind w:left="1902" w:hanging="1080"/>
      </w:pPr>
      <w:rPr>
        <w:rFonts w:ascii="Arial" w:hAnsi="Arial" w:cs="Arial" w:hint="default"/>
        <w:b/>
        <w:sz w:val="20"/>
        <w:szCs w:val="20"/>
      </w:rPr>
    </w:lvl>
    <w:lvl w:ilvl="3">
      <w:start w:val="1"/>
      <w:numFmt w:val="decimal"/>
      <w:isLgl/>
      <w:lvlText w:val="%1.%2.%3.%4."/>
      <w:lvlJc w:val="left"/>
      <w:pPr>
        <w:ind w:left="1902" w:hanging="1080"/>
      </w:pPr>
      <w:rPr>
        <w:rFonts w:hint="default"/>
      </w:rPr>
    </w:lvl>
    <w:lvl w:ilvl="4">
      <w:start w:val="1"/>
      <w:numFmt w:val="decimal"/>
      <w:isLgl/>
      <w:lvlText w:val="%1.%2.%3.%4.%5."/>
      <w:lvlJc w:val="left"/>
      <w:pPr>
        <w:ind w:left="2262" w:hanging="1440"/>
      </w:pPr>
      <w:rPr>
        <w:rFonts w:hint="default"/>
      </w:rPr>
    </w:lvl>
    <w:lvl w:ilvl="5">
      <w:start w:val="1"/>
      <w:numFmt w:val="decimal"/>
      <w:isLgl/>
      <w:lvlText w:val="%1.%2.%3.%4.%5.%6."/>
      <w:lvlJc w:val="left"/>
      <w:pPr>
        <w:ind w:left="2262" w:hanging="1440"/>
      </w:pPr>
      <w:rPr>
        <w:rFonts w:hint="default"/>
      </w:rPr>
    </w:lvl>
    <w:lvl w:ilvl="6">
      <w:start w:val="1"/>
      <w:numFmt w:val="decimal"/>
      <w:isLgl/>
      <w:lvlText w:val="%1.%2.%3.%4.%5.%6.%7."/>
      <w:lvlJc w:val="left"/>
      <w:pPr>
        <w:ind w:left="2622"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982" w:hanging="2160"/>
      </w:pPr>
      <w:rPr>
        <w:rFonts w:hint="default"/>
      </w:rPr>
    </w:lvl>
  </w:abstractNum>
  <w:abstractNum w:abstractNumId="8" w15:restartNumberingAfterBreak="0">
    <w:nsid w:val="2D5B3C0B"/>
    <w:multiLevelType w:val="hybridMultilevel"/>
    <w:tmpl w:val="6A84B1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E0C4F94"/>
    <w:multiLevelType w:val="hybridMultilevel"/>
    <w:tmpl w:val="49665F7E"/>
    <w:lvl w:ilvl="0" w:tplc="5C385C28">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77D74F8"/>
    <w:multiLevelType w:val="hybridMultilevel"/>
    <w:tmpl w:val="3686009C"/>
    <w:lvl w:ilvl="0" w:tplc="5C385C28">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C06751E"/>
    <w:multiLevelType w:val="multilevel"/>
    <w:tmpl w:val="D208201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3D7F7710"/>
    <w:multiLevelType w:val="hybridMultilevel"/>
    <w:tmpl w:val="BF1873A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13E24B1"/>
    <w:multiLevelType w:val="hybridMultilevel"/>
    <w:tmpl w:val="C4EE7D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9980202"/>
    <w:multiLevelType w:val="hybridMultilevel"/>
    <w:tmpl w:val="4F8643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E9D125F"/>
    <w:multiLevelType w:val="multilevel"/>
    <w:tmpl w:val="91CCE88A"/>
    <w:lvl w:ilvl="0">
      <w:start w:val="1"/>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4662010"/>
    <w:multiLevelType w:val="hybridMultilevel"/>
    <w:tmpl w:val="8A1CFB8C"/>
    <w:lvl w:ilvl="0" w:tplc="040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B092F36"/>
    <w:multiLevelType w:val="hybridMultilevel"/>
    <w:tmpl w:val="BC16197C"/>
    <w:lvl w:ilvl="0" w:tplc="56EC2286">
      <w:start w:val="3"/>
      <w:numFmt w:val="upperLett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12C1CE1"/>
    <w:multiLevelType w:val="hybridMultilevel"/>
    <w:tmpl w:val="2ABA8B24"/>
    <w:lvl w:ilvl="0" w:tplc="6AF6F0A2">
      <w:start w:val="1"/>
      <w:numFmt w:val="bullet"/>
      <w:lvlText w:val=""/>
      <w:lvlJc w:val="left"/>
      <w:pPr>
        <w:tabs>
          <w:tab w:val="num" w:pos="720"/>
        </w:tabs>
        <w:ind w:left="720" w:hanging="360"/>
      </w:pPr>
      <w:rPr>
        <w:rFonts w:ascii="Symbol" w:hAnsi="Symbol" w:hint="default"/>
        <w:sz w:val="20"/>
      </w:rPr>
    </w:lvl>
    <w:lvl w:ilvl="1" w:tplc="2B2E10CE" w:tentative="1">
      <w:start w:val="1"/>
      <w:numFmt w:val="bullet"/>
      <w:lvlText w:val="o"/>
      <w:lvlJc w:val="left"/>
      <w:pPr>
        <w:tabs>
          <w:tab w:val="num" w:pos="1440"/>
        </w:tabs>
        <w:ind w:left="1440" w:hanging="360"/>
      </w:pPr>
      <w:rPr>
        <w:rFonts w:ascii="Courier New" w:hAnsi="Courier New" w:hint="default"/>
        <w:sz w:val="20"/>
      </w:rPr>
    </w:lvl>
    <w:lvl w:ilvl="2" w:tplc="01B84CE0" w:tentative="1">
      <w:start w:val="1"/>
      <w:numFmt w:val="bullet"/>
      <w:lvlText w:val=""/>
      <w:lvlJc w:val="left"/>
      <w:pPr>
        <w:tabs>
          <w:tab w:val="num" w:pos="2160"/>
        </w:tabs>
        <w:ind w:left="2160" w:hanging="360"/>
      </w:pPr>
      <w:rPr>
        <w:rFonts w:ascii="Wingdings" w:hAnsi="Wingdings" w:hint="default"/>
        <w:sz w:val="20"/>
      </w:rPr>
    </w:lvl>
    <w:lvl w:ilvl="3" w:tplc="C6D8CEBC" w:tentative="1">
      <w:start w:val="1"/>
      <w:numFmt w:val="bullet"/>
      <w:lvlText w:val=""/>
      <w:lvlJc w:val="left"/>
      <w:pPr>
        <w:tabs>
          <w:tab w:val="num" w:pos="2880"/>
        </w:tabs>
        <w:ind w:left="2880" w:hanging="360"/>
      </w:pPr>
      <w:rPr>
        <w:rFonts w:ascii="Wingdings" w:hAnsi="Wingdings" w:hint="default"/>
        <w:sz w:val="20"/>
      </w:rPr>
    </w:lvl>
    <w:lvl w:ilvl="4" w:tplc="7C4A8C60" w:tentative="1">
      <w:start w:val="1"/>
      <w:numFmt w:val="bullet"/>
      <w:lvlText w:val=""/>
      <w:lvlJc w:val="left"/>
      <w:pPr>
        <w:tabs>
          <w:tab w:val="num" w:pos="3600"/>
        </w:tabs>
        <w:ind w:left="3600" w:hanging="360"/>
      </w:pPr>
      <w:rPr>
        <w:rFonts w:ascii="Wingdings" w:hAnsi="Wingdings" w:hint="default"/>
        <w:sz w:val="20"/>
      </w:rPr>
    </w:lvl>
    <w:lvl w:ilvl="5" w:tplc="A9548514" w:tentative="1">
      <w:start w:val="1"/>
      <w:numFmt w:val="bullet"/>
      <w:lvlText w:val=""/>
      <w:lvlJc w:val="left"/>
      <w:pPr>
        <w:tabs>
          <w:tab w:val="num" w:pos="4320"/>
        </w:tabs>
        <w:ind w:left="4320" w:hanging="360"/>
      </w:pPr>
      <w:rPr>
        <w:rFonts w:ascii="Wingdings" w:hAnsi="Wingdings" w:hint="default"/>
        <w:sz w:val="20"/>
      </w:rPr>
    </w:lvl>
    <w:lvl w:ilvl="6" w:tplc="BD44883C" w:tentative="1">
      <w:start w:val="1"/>
      <w:numFmt w:val="bullet"/>
      <w:lvlText w:val=""/>
      <w:lvlJc w:val="left"/>
      <w:pPr>
        <w:tabs>
          <w:tab w:val="num" w:pos="5040"/>
        </w:tabs>
        <w:ind w:left="5040" w:hanging="360"/>
      </w:pPr>
      <w:rPr>
        <w:rFonts w:ascii="Wingdings" w:hAnsi="Wingdings" w:hint="default"/>
        <w:sz w:val="20"/>
      </w:rPr>
    </w:lvl>
    <w:lvl w:ilvl="7" w:tplc="E5825490" w:tentative="1">
      <w:start w:val="1"/>
      <w:numFmt w:val="bullet"/>
      <w:lvlText w:val=""/>
      <w:lvlJc w:val="left"/>
      <w:pPr>
        <w:tabs>
          <w:tab w:val="num" w:pos="5760"/>
        </w:tabs>
        <w:ind w:left="5760" w:hanging="360"/>
      </w:pPr>
      <w:rPr>
        <w:rFonts w:ascii="Wingdings" w:hAnsi="Wingdings" w:hint="default"/>
        <w:sz w:val="20"/>
      </w:rPr>
    </w:lvl>
    <w:lvl w:ilvl="8" w:tplc="A20C1454"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C3A52"/>
    <w:multiLevelType w:val="hybridMultilevel"/>
    <w:tmpl w:val="2F342836"/>
    <w:lvl w:ilvl="0" w:tplc="5C385C28">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8AA17D2"/>
    <w:multiLevelType w:val="hybridMultilevel"/>
    <w:tmpl w:val="3146C1A0"/>
    <w:lvl w:ilvl="0" w:tplc="5C385C28">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BB84DA4"/>
    <w:multiLevelType w:val="hybridMultilevel"/>
    <w:tmpl w:val="32FEB304"/>
    <w:lvl w:ilvl="0" w:tplc="9544C7D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F7F3C56"/>
    <w:multiLevelType w:val="hybridMultilevel"/>
    <w:tmpl w:val="EF2E62E0"/>
    <w:lvl w:ilvl="0" w:tplc="5C385C28">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1367DC3"/>
    <w:multiLevelType w:val="hybridMultilevel"/>
    <w:tmpl w:val="FE1E91B6"/>
    <w:lvl w:ilvl="0" w:tplc="F60830DA">
      <w:start w:val="2"/>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DF7B7B"/>
    <w:multiLevelType w:val="hybridMultilevel"/>
    <w:tmpl w:val="05B68D58"/>
    <w:lvl w:ilvl="0" w:tplc="36805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6382429"/>
    <w:multiLevelType w:val="hybridMultilevel"/>
    <w:tmpl w:val="F7D2E0F4"/>
    <w:lvl w:ilvl="0" w:tplc="5C385C28">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7B460CE1"/>
    <w:multiLevelType w:val="hybridMultilevel"/>
    <w:tmpl w:val="076AC8E2"/>
    <w:lvl w:ilvl="0" w:tplc="25E88E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BE00F7"/>
    <w:multiLevelType w:val="hybridMultilevel"/>
    <w:tmpl w:val="4FF255A8"/>
    <w:lvl w:ilvl="0" w:tplc="5C385C28">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E822532"/>
    <w:multiLevelType w:val="hybridMultilevel"/>
    <w:tmpl w:val="2E840A1C"/>
    <w:lvl w:ilvl="0" w:tplc="E7E0232A">
      <w:start w:val="1"/>
      <w:numFmt w:val="decimal"/>
      <w:lvlText w:val="%1."/>
      <w:lvlJc w:val="left"/>
      <w:pPr>
        <w:ind w:left="786" w:hanging="360"/>
      </w:pPr>
      <w:rPr>
        <w:rFonts w:hint="default"/>
      </w:rPr>
    </w:lvl>
    <w:lvl w:ilvl="1" w:tplc="77AA3268">
      <w:start w:val="1"/>
      <w:numFmt w:val="lowerLetter"/>
      <w:lvlText w:val="%2."/>
      <w:lvlJc w:val="left"/>
      <w:pPr>
        <w:ind w:left="1506" w:hanging="360"/>
      </w:pPr>
    </w:lvl>
    <w:lvl w:ilvl="2" w:tplc="0A162D2A">
      <w:start w:val="1"/>
      <w:numFmt w:val="lowerRoman"/>
      <w:lvlText w:val="%3."/>
      <w:lvlJc w:val="right"/>
      <w:pPr>
        <w:ind w:left="2226" w:hanging="180"/>
      </w:pPr>
    </w:lvl>
    <w:lvl w:ilvl="3" w:tplc="12BC2CC4">
      <w:start w:val="1"/>
      <w:numFmt w:val="decimal"/>
      <w:lvlText w:val="%4."/>
      <w:lvlJc w:val="left"/>
      <w:pPr>
        <w:ind w:left="2946" w:hanging="360"/>
      </w:pPr>
    </w:lvl>
    <w:lvl w:ilvl="4" w:tplc="D5026942">
      <w:start w:val="1"/>
      <w:numFmt w:val="lowerLetter"/>
      <w:lvlText w:val="%5."/>
      <w:lvlJc w:val="left"/>
      <w:pPr>
        <w:ind w:left="3666" w:hanging="360"/>
      </w:pPr>
    </w:lvl>
    <w:lvl w:ilvl="5" w:tplc="A964D682">
      <w:start w:val="1"/>
      <w:numFmt w:val="lowerRoman"/>
      <w:lvlText w:val="%6."/>
      <w:lvlJc w:val="right"/>
      <w:pPr>
        <w:ind w:left="4386" w:hanging="180"/>
      </w:pPr>
    </w:lvl>
    <w:lvl w:ilvl="6" w:tplc="B080A7E0">
      <w:start w:val="1"/>
      <w:numFmt w:val="decimal"/>
      <w:lvlText w:val="%7."/>
      <w:lvlJc w:val="left"/>
      <w:pPr>
        <w:ind w:left="5106" w:hanging="360"/>
      </w:pPr>
    </w:lvl>
    <w:lvl w:ilvl="7" w:tplc="D15C53A6">
      <w:start w:val="1"/>
      <w:numFmt w:val="lowerLetter"/>
      <w:lvlText w:val="%8."/>
      <w:lvlJc w:val="left"/>
      <w:pPr>
        <w:ind w:left="5826" w:hanging="360"/>
      </w:pPr>
    </w:lvl>
    <w:lvl w:ilvl="8" w:tplc="86A85090">
      <w:start w:val="1"/>
      <w:numFmt w:val="lowerRoman"/>
      <w:lvlText w:val="%9."/>
      <w:lvlJc w:val="right"/>
      <w:pPr>
        <w:ind w:left="6546" w:hanging="180"/>
      </w:pPr>
    </w:lvl>
  </w:abstractNum>
  <w:num w:numId="1">
    <w:abstractNumId w:val="4"/>
  </w:num>
  <w:num w:numId="2">
    <w:abstractNumId w:val="28"/>
  </w:num>
  <w:num w:numId="3">
    <w:abstractNumId w:val="7"/>
  </w:num>
  <w:num w:numId="4">
    <w:abstractNumId w:val="23"/>
  </w:num>
  <w:num w:numId="5">
    <w:abstractNumId w:val="6"/>
  </w:num>
  <w:num w:numId="6">
    <w:abstractNumId w:val="18"/>
  </w:num>
  <w:num w:numId="7">
    <w:abstractNumId w:val="11"/>
  </w:num>
  <w:num w:numId="8">
    <w:abstractNumId w:val="15"/>
  </w:num>
  <w:num w:numId="9">
    <w:abstractNumId w:val="14"/>
  </w:num>
  <w:num w:numId="10">
    <w:abstractNumId w:val="5"/>
  </w:num>
  <w:num w:numId="11">
    <w:abstractNumId w:val="1"/>
  </w:num>
  <w:num w:numId="12">
    <w:abstractNumId w:val="9"/>
  </w:num>
  <w:num w:numId="13">
    <w:abstractNumId w:val="25"/>
  </w:num>
  <w:num w:numId="14">
    <w:abstractNumId w:val="0"/>
  </w:num>
  <w:num w:numId="15">
    <w:abstractNumId w:val="13"/>
  </w:num>
  <w:num w:numId="16">
    <w:abstractNumId w:val="19"/>
  </w:num>
  <w:num w:numId="17">
    <w:abstractNumId w:val="22"/>
  </w:num>
  <w:num w:numId="18">
    <w:abstractNumId w:val="10"/>
  </w:num>
  <w:num w:numId="19">
    <w:abstractNumId w:val="20"/>
  </w:num>
  <w:num w:numId="20">
    <w:abstractNumId w:val="2"/>
  </w:num>
  <w:num w:numId="21">
    <w:abstractNumId w:val="27"/>
  </w:num>
  <w:num w:numId="22">
    <w:abstractNumId w:val="26"/>
  </w:num>
  <w:num w:numId="23">
    <w:abstractNumId w:val="21"/>
  </w:num>
  <w:num w:numId="24">
    <w:abstractNumId w:val="8"/>
  </w:num>
  <w:num w:numId="25">
    <w:abstractNumId w:val="12"/>
  </w:num>
  <w:num w:numId="26">
    <w:abstractNumId w:val="24"/>
  </w:num>
  <w:num w:numId="27">
    <w:abstractNumId w:val="3"/>
  </w:num>
  <w:num w:numId="28">
    <w:abstractNumId w:val="1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BB"/>
    <w:rsid w:val="00007E14"/>
    <w:rsid w:val="00011DDF"/>
    <w:rsid w:val="00036EDD"/>
    <w:rsid w:val="00052BF5"/>
    <w:rsid w:val="0008078C"/>
    <w:rsid w:val="00093219"/>
    <w:rsid w:val="000E6A4F"/>
    <w:rsid w:val="000F5E95"/>
    <w:rsid w:val="00102B71"/>
    <w:rsid w:val="0011280F"/>
    <w:rsid w:val="00124934"/>
    <w:rsid w:val="001A0E74"/>
    <w:rsid w:val="001A2FC1"/>
    <w:rsid w:val="001A73D9"/>
    <w:rsid w:val="001D2DCD"/>
    <w:rsid w:val="001D74D7"/>
    <w:rsid w:val="0020694B"/>
    <w:rsid w:val="00206DAE"/>
    <w:rsid w:val="00243801"/>
    <w:rsid w:val="002501E6"/>
    <w:rsid w:val="00281997"/>
    <w:rsid w:val="002853C4"/>
    <w:rsid w:val="00290EE6"/>
    <w:rsid w:val="0029305A"/>
    <w:rsid w:val="00294AA0"/>
    <w:rsid w:val="002A458E"/>
    <w:rsid w:val="002A6D3D"/>
    <w:rsid w:val="002B3B6D"/>
    <w:rsid w:val="002C4B28"/>
    <w:rsid w:val="002F56E7"/>
    <w:rsid w:val="00326B6D"/>
    <w:rsid w:val="00340778"/>
    <w:rsid w:val="00353ECA"/>
    <w:rsid w:val="00360EF1"/>
    <w:rsid w:val="00361D27"/>
    <w:rsid w:val="00395373"/>
    <w:rsid w:val="003A6310"/>
    <w:rsid w:val="003B31CD"/>
    <w:rsid w:val="003B64A4"/>
    <w:rsid w:val="00434683"/>
    <w:rsid w:val="0046178D"/>
    <w:rsid w:val="004B3E80"/>
    <w:rsid w:val="004C5D86"/>
    <w:rsid w:val="004D130D"/>
    <w:rsid w:val="00561A6D"/>
    <w:rsid w:val="00581FA3"/>
    <w:rsid w:val="00590381"/>
    <w:rsid w:val="0059584C"/>
    <w:rsid w:val="005D63D3"/>
    <w:rsid w:val="0061133A"/>
    <w:rsid w:val="00645897"/>
    <w:rsid w:val="006D3E44"/>
    <w:rsid w:val="00703CBB"/>
    <w:rsid w:val="00711DB1"/>
    <w:rsid w:val="007322C3"/>
    <w:rsid w:val="0073287F"/>
    <w:rsid w:val="00777ADA"/>
    <w:rsid w:val="007F3ABB"/>
    <w:rsid w:val="00855DC9"/>
    <w:rsid w:val="0085766A"/>
    <w:rsid w:val="00882C45"/>
    <w:rsid w:val="00902CF2"/>
    <w:rsid w:val="00907364"/>
    <w:rsid w:val="00910909"/>
    <w:rsid w:val="0093431C"/>
    <w:rsid w:val="00935B77"/>
    <w:rsid w:val="00936402"/>
    <w:rsid w:val="009514FC"/>
    <w:rsid w:val="009543F3"/>
    <w:rsid w:val="00956B72"/>
    <w:rsid w:val="00986DAB"/>
    <w:rsid w:val="00991C8D"/>
    <w:rsid w:val="00992D96"/>
    <w:rsid w:val="009B00BB"/>
    <w:rsid w:val="009C3F50"/>
    <w:rsid w:val="009C764B"/>
    <w:rsid w:val="00A37BFA"/>
    <w:rsid w:val="00A40AFD"/>
    <w:rsid w:val="00AA00F2"/>
    <w:rsid w:val="00AB4D70"/>
    <w:rsid w:val="00AB6D68"/>
    <w:rsid w:val="00B217B9"/>
    <w:rsid w:val="00B44865"/>
    <w:rsid w:val="00B51FAC"/>
    <w:rsid w:val="00B524EC"/>
    <w:rsid w:val="00B6051C"/>
    <w:rsid w:val="00BA17D2"/>
    <w:rsid w:val="00BA2632"/>
    <w:rsid w:val="00BA4F09"/>
    <w:rsid w:val="00BD1CD1"/>
    <w:rsid w:val="00BE026C"/>
    <w:rsid w:val="00BF4143"/>
    <w:rsid w:val="00C038EF"/>
    <w:rsid w:val="00C11321"/>
    <w:rsid w:val="00C31F76"/>
    <w:rsid w:val="00C50019"/>
    <w:rsid w:val="00C55CFC"/>
    <w:rsid w:val="00C87EDF"/>
    <w:rsid w:val="00CA47C2"/>
    <w:rsid w:val="00CB33B4"/>
    <w:rsid w:val="00CB3886"/>
    <w:rsid w:val="00CB434F"/>
    <w:rsid w:val="00CE1252"/>
    <w:rsid w:val="00D25B48"/>
    <w:rsid w:val="00D44B25"/>
    <w:rsid w:val="00D5541F"/>
    <w:rsid w:val="00DA1131"/>
    <w:rsid w:val="00DF1A62"/>
    <w:rsid w:val="00DF237A"/>
    <w:rsid w:val="00E14475"/>
    <w:rsid w:val="00E43489"/>
    <w:rsid w:val="00E7110A"/>
    <w:rsid w:val="00E91470"/>
    <w:rsid w:val="00EC51E2"/>
    <w:rsid w:val="00ED257C"/>
    <w:rsid w:val="00EF57B3"/>
    <w:rsid w:val="00F30C13"/>
    <w:rsid w:val="00F64CE6"/>
    <w:rsid w:val="00F7043C"/>
    <w:rsid w:val="00F872C4"/>
    <w:rsid w:val="00F9504B"/>
    <w:rsid w:val="00FA7ADF"/>
    <w:rsid w:val="00FC442D"/>
    <w:rsid w:val="00FD2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7B27011"/>
  <w15:docId w15:val="{2FB2DB5B-FFD4-43DC-A037-111D72EE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pBdr>
        <w:top w:val="none" w:sz="4" w:space="0" w:color="000000"/>
        <w:left w:val="none" w:sz="4" w:space="0" w:color="000000"/>
        <w:bottom w:val="none" w:sz="4" w:space="0" w:color="000000"/>
        <w:right w:val="none" w:sz="4" w:space="0" w:color="000000"/>
        <w:between w:val="none" w:sz="4" w:space="0" w:color="000000"/>
      </w:pBdr>
      <w:spacing w:after="0" w:line="240" w:lineRule="auto"/>
      <w:outlineLvl w:val="0"/>
    </w:pPr>
    <w:rPr>
      <w:rFonts w:ascii="Arial" w:eastAsia="Times New Roman" w:hAnsi="Arial" w:cs="Times New Roman"/>
      <w:sz w:val="24"/>
      <w:lang w:eastAsia="ru-RU"/>
    </w:rPr>
  </w:style>
  <w:style w:type="paragraph" w:styleId="Heading2">
    <w:name w:val="heading 2"/>
    <w:basedOn w:val="Normal"/>
    <w:next w:val="Normal"/>
    <w:link w:val="Heading2Char"/>
    <w:uiPriority w:val="9"/>
    <w:semiHidden/>
    <w:unhideWhenUsed/>
    <w:qFormat/>
    <w:rsid w:val="002853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rFonts w:ascii="Arial" w:eastAsia="Times New Roman" w:hAnsi="Arial" w:cs="Times New Roman"/>
      <w:sz w:val="24"/>
      <w:lang w:eastAsia="ru-RU"/>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677"/>
        <w:tab w:val="right" w:pos="9355"/>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77"/>
        <w:tab w:val="right" w:pos="9355"/>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Pr>
      <w:rFonts w:ascii="Courier New" w:eastAsia="Times New Roman" w:hAnsi="Courier New" w:cs="Courier New"/>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Calibri Light" w:eastAsia="Calibri Light" w:hAnsi="Calibri Light" w:cs="Calibri Light"/>
      <w:color w:val="1F4D78" w:themeColor="accent1" w:themeShade="7F"/>
      <w:sz w:val="24"/>
      <w:szCs w:val="24"/>
    </w:rPr>
  </w:style>
  <w:style w:type="character" w:customStyle="1" w:styleId="hljs-section">
    <w:name w:val="hljs-section"/>
    <w:basedOn w:val="DefaultParagraphFont"/>
  </w:style>
  <w:style w:type="character" w:customStyle="1" w:styleId="hljs-bullet">
    <w:name w:val="hljs-bullet"/>
    <w:basedOn w:val="DefaultParagraphFont"/>
  </w:style>
  <w:style w:type="character" w:customStyle="1" w:styleId="ListParagraphChar">
    <w:name w:val="List Paragraph Char"/>
    <w:basedOn w:val="DefaultParagraphFont"/>
    <w:link w:val="ListParagraph"/>
    <w:uiPriority w:val="34"/>
  </w:style>
  <w:style w:type="paragraph" w:customStyle="1" w:styleId="HEAD1">
    <w:name w:val="HEAD1"/>
    <w:basedOn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b/>
      <w:bCs/>
      <w:sz w:val="20"/>
      <w:lang w:val="en-US" w:eastAsia="el-GR"/>
    </w:rPr>
  </w:style>
  <w:style w:type="character" w:customStyle="1" w:styleId="relative">
    <w:name w:val="relative"/>
    <w:basedOn w:val="DefaultParagraphFont"/>
    <w:rsid w:val="002F56E7"/>
  </w:style>
  <w:style w:type="paragraph" w:styleId="TOC1">
    <w:name w:val="toc 1"/>
    <w:basedOn w:val="Normal"/>
    <w:next w:val="Normal"/>
    <w:uiPriority w:val="39"/>
    <w:qFormat/>
    <w:rsid w:val="0073287F"/>
    <w:pPr>
      <w:pBdr>
        <w:top w:val="none" w:sz="4" w:space="0" w:color="000000"/>
        <w:left w:val="none" w:sz="4" w:space="0" w:color="000000"/>
        <w:bottom w:val="none" w:sz="4" w:space="0" w:color="000000"/>
        <w:right w:val="none" w:sz="4" w:space="0" w:color="000000"/>
        <w:between w:val="none" w:sz="4" w:space="0" w:color="000000"/>
      </w:pBdr>
      <w:spacing w:before="120" w:after="0" w:line="360" w:lineRule="auto"/>
      <w:jc w:val="both"/>
    </w:pPr>
    <w:rPr>
      <w:rFonts w:ascii="Arial" w:eastAsia="Times New Roman" w:hAnsi="Arial" w:cs="Arial"/>
      <w:b/>
      <w:color w:val="002060"/>
      <w:sz w:val="20"/>
    </w:rPr>
  </w:style>
  <w:style w:type="character" w:styleId="Hyperlink">
    <w:name w:val="Hyperlink"/>
    <w:uiPriority w:val="99"/>
    <w:rsid w:val="0073287F"/>
    <w:rPr>
      <w:color w:val="0000FF"/>
      <w:u w:val="single"/>
    </w:rPr>
  </w:style>
  <w:style w:type="character" w:customStyle="1" w:styleId="Heading2Char">
    <w:name w:val="Heading 2 Char"/>
    <w:basedOn w:val="DefaultParagraphFont"/>
    <w:link w:val="Heading2"/>
    <w:uiPriority w:val="9"/>
    <w:semiHidden/>
    <w:rsid w:val="002853C4"/>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703CBB"/>
    <w:pPr>
      <w:spacing w:after="100"/>
      <w:ind w:left="220"/>
    </w:pPr>
  </w:style>
  <w:style w:type="character" w:styleId="CommentReference">
    <w:name w:val="annotation reference"/>
    <w:basedOn w:val="DefaultParagraphFont"/>
    <w:uiPriority w:val="99"/>
    <w:semiHidden/>
    <w:unhideWhenUsed/>
    <w:rsid w:val="001D2DCD"/>
    <w:rPr>
      <w:sz w:val="16"/>
      <w:szCs w:val="16"/>
    </w:rPr>
  </w:style>
  <w:style w:type="paragraph" w:styleId="CommentText">
    <w:name w:val="annotation text"/>
    <w:basedOn w:val="Normal"/>
    <w:link w:val="CommentTextChar"/>
    <w:uiPriority w:val="99"/>
    <w:semiHidden/>
    <w:unhideWhenUsed/>
    <w:rsid w:val="001D2DCD"/>
    <w:pPr>
      <w:spacing w:line="240" w:lineRule="auto"/>
    </w:pPr>
    <w:rPr>
      <w:sz w:val="20"/>
      <w:szCs w:val="20"/>
    </w:rPr>
  </w:style>
  <w:style w:type="character" w:customStyle="1" w:styleId="CommentTextChar">
    <w:name w:val="Comment Text Char"/>
    <w:basedOn w:val="DefaultParagraphFont"/>
    <w:link w:val="CommentText"/>
    <w:uiPriority w:val="99"/>
    <w:semiHidden/>
    <w:rsid w:val="001D2DCD"/>
    <w:rPr>
      <w:sz w:val="20"/>
      <w:szCs w:val="20"/>
    </w:rPr>
  </w:style>
  <w:style w:type="paragraph" w:styleId="CommentSubject">
    <w:name w:val="annotation subject"/>
    <w:basedOn w:val="CommentText"/>
    <w:next w:val="CommentText"/>
    <w:link w:val="CommentSubjectChar"/>
    <w:uiPriority w:val="99"/>
    <w:semiHidden/>
    <w:unhideWhenUsed/>
    <w:rsid w:val="001D2DCD"/>
    <w:rPr>
      <w:b/>
      <w:bCs/>
    </w:rPr>
  </w:style>
  <w:style w:type="character" w:customStyle="1" w:styleId="CommentSubjectChar">
    <w:name w:val="Comment Subject Char"/>
    <w:basedOn w:val="CommentTextChar"/>
    <w:link w:val="CommentSubject"/>
    <w:uiPriority w:val="99"/>
    <w:semiHidden/>
    <w:rsid w:val="001D2D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3503">
      <w:bodyDiv w:val="1"/>
      <w:marLeft w:val="0"/>
      <w:marRight w:val="0"/>
      <w:marTop w:val="0"/>
      <w:marBottom w:val="0"/>
      <w:divBdr>
        <w:top w:val="none" w:sz="0" w:space="0" w:color="auto"/>
        <w:left w:val="none" w:sz="0" w:space="0" w:color="auto"/>
        <w:bottom w:val="none" w:sz="0" w:space="0" w:color="auto"/>
        <w:right w:val="none" w:sz="0" w:space="0" w:color="auto"/>
      </w:divBdr>
    </w:div>
    <w:div w:id="1162968198">
      <w:bodyDiv w:val="1"/>
      <w:marLeft w:val="0"/>
      <w:marRight w:val="0"/>
      <w:marTop w:val="0"/>
      <w:marBottom w:val="0"/>
      <w:divBdr>
        <w:top w:val="none" w:sz="0" w:space="0" w:color="auto"/>
        <w:left w:val="none" w:sz="0" w:space="0" w:color="auto"/>
        <w:bottom w:val="none" w:sz="0" w:space="0" w:color="auto"/>
        <w:right w:val="none" w:sz="0" w:space="0" w:color="auto"/>
      </w:divBdr>
    </w:div>
    <w:div w:id="1294941065">
      <w:bodyDiv w:val="1"/>
      <w:marLeft w:val="0"/>
      <w:marRight w:val="0"/>
      <w:marTop w:val="0"/>
      <w:marBottom w:val="0"/>
      <w:divBdr>
        <w:top w:val="none" w:sz="0" w:space="0" w:color="auto"/>
        <w:left w:val="none" w:sz="0" w:space="0" w:color="auto"/>
        <w:bottom w:val="none" w:sz="0" w:space="0" w:color="auto"/>
        <w:right w:val="none" w:sz="0" w:space="0" w:color="auto"/>
      </w:divBdr>
    </w:div>
    <w:div w:id="211604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iraeusbank.ua/ua/home/inappropriate-actions" TargetMode="External"/><Relationship Id="rId13" Type="http://schemas.openxmlformats.org/officeDocument/2006/relationships/image" Target="media/image4.emf"/><Relationship Id="rId18" Type="http://schemas.openxmlformats.org/officeDocument/2006/relationships/package" Target="embeddings/Microsoft_Excel_Worksheet3.xlsx"/><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package" Target="embeddings/Microsoft_Word_Document1.docx"/><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package" Target="embeddings/Microsoft_Excel_Worksheet.xlsx"/><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15</Pages>
  <Words>25013</Words>
  <Characters>14258</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Valiarovska Valentyna</dc:creator>
  <cp:keywords>, docId:8ED1D989876964D275439711C90F01EF</cp:keywords>
  <cp:lastModifiedBy>Valiarovska Valentyna</cp:lastModifiedBy>
  <cp:revision>33</cp:revision>
  <dcterms:created xsi:type="dcterms:W3CDTF">2025-11-21T16:11:00Z</dcterms:created>
  <dcterms:modified xsi:type="dcterms:W3CDTF">2026-01-06T07:08:00Z</dcterms:modified>
</cp:coreProperties>
</file>